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0E0" w14:textId="2A442D9F" w:rsidR="00065680" w:rsidRDefault="00772582" w:rsidP="001E1C43">
      <w:pPr>
        <w:spacing w:after="480"/>
        <w:jc w:val="both"/>
      </w:pPr>
      <w:r>
        <w:rPr>
          <w:noProof/>
        </w:rPr>
        <w:drawing>
          <wp:anchor distT="0" distB="0" distL="0" distR="0" simplePos="0" relativeHeight="251659264" behindDoc="1" locked="0" layoutInCell="1" allowOverlap="1" wp14:anchorId="1496E5DC" wp14:editId="7BFCEC21">
            <wp:simplePos x="0" y="0"/>
            <wp:positionH relativeFrom="page">
              <wp:posOffset>1143000</wp:posOffset>
            </wp:positionH>
            <wp:positionV relativeFrom="topMargin">
              <wp:posOffset>1028700</wp:posOffset>
            </wp:positionV>
            <wp:extent cx="2491332" cy="631874"/>
            <wp:effectExtent l="0" t="0" r="4445" b="0"/>
            <wp:wrapTight wrapText="bothSides">
              <wp:wrapPolygon edited="0">
                <wp:start x="0" y="0"/>
                <wp:lineTo x="0" y="20840"/>
                <wp:lineTo x="21473" y="20840"/>
                <wp:lineTo x="2147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2491332" cy="631874"/>
                    </a:xfrm>
                    <a:prstGeom prst="rect">
                      <a:avLst/>
                    </a:prstGeom>
                  </pic:spPr>
                </pic:pic>
              </a:graphicData>
            </a:graphic>
          </wp:anchor>
        </w:drawing>
      </w:r>
    </w:p>
    <w:tbl>
      <w:tblPr>
        <w:tblStyle w:val="Style1"/>
        <w:tblW w:w="0" w:type="auto"/>
        <w:tblLook w:val="0000" w:firstRow="0" w:lastRow="0" w:firstColumn="0" w:lastColumn="0" w:noHBand="0" w:noVBand="0"/>
        <w:tblCaption w:val="Cabinet report summary details"/>
      </w:tblPr>
      <w:tblGrid>
        <w:gridCol w:w="3389"/>
        <w:gridCol w:w="4920"/>
      </w:tblGrid>
      <w:tr w:rsidR="00065680" w14:paraId="041F7A13" w14:textId="77777777" w:rsidTr="008E1116">
        <w:trPr>
          <w:tblHeader/>
        </w:trPr>
        <w:tc>
          <w:tcPr>
            <w:tcW w:w="3456" w:type="dxa"/>
            <w:tcBorders>
              <w:bottom w:val="single" w:sz="18" w:space="0" w:color="auto"/>
            </w:tcBorders>
          </w:tcPr>
          <w:p w14:paraId="72B7A2A3" w14:textId="77777777" w:rsidR="00065680" w:rsidRPr="00B805DB" w:rsidRDefault="00065680" w:rsidP="001E1C43">
            <w:pPr>
              <w:pStyle w:val="Heading1"/>
              <w:spacing w:after="240"/>
              <w:jc w:val="both"/>
              <w:outlineLvl w:val="0"/>
            </w:pPr>
            <w:r>
              <w:t>Report f</w:t>
            </w:r>
            <w:r w:rsidRPr="00C869F3">
              <w:t>or:</w:t>
            </w:r>
          </w:p>
        </w:tc>
        <w:tc>
          <w:tcPr>
            <w:tcW w:w="5054" w:type="dxa"/>
            <w:tcBorders>
              <w:bottom w:val="single" w:sz="18" w:space="0" w:color="auto"/>
            </w:tcBorders>
          </w:tcPr>
          <w:p w14:paraId="09E72913" w14:textId="083F2A85" w:rsidR="00065680" w:rsidRPr="005E3A10" w:rsidRDefault="00065680" w:rsidP="001E1C43">
            <w:pPr>
              <w:pStyle w:val="Heading1"/>
              <w:jc w:val="both"/>
              <w:outlineLvl w:val="0"/>
              <w:rPr>
                <w:szCs w:val="24"/>
              </w:rPr>
            </w:pPr>
            <w:r>
              <w:t>Licensing</w:t>
            </w:r>
            <w:r w:rsidR="0067229E">
              <w:t xml:space="preserve"> Panel Sub- committee</w:t>
            </w:r>
          </w:p>
        </w:tc>
      </w:tr>
      <w:tr w:rsidR="00065680" w14:paraId="78E59203" w14:textId="77777777" w:rsidTr="008E1116">
        <w:tc>
          <w:tcPr>
            <w:tcW w:w="3456" w:type="dxa"/>
            <w:tcBorders>
              <w:top w:val="single" w:sz="18" w:space="0" w:color="auto"/>
            </w:tcBorders>
          </w:tcPr>
          <w:p w14:paraId="469AD8E9" w14:textId="77777777" w:rsidR="00065680" w:rsidRPr="00C13A5F" w:rsidRDefault="00065680" w:rsidP="001E1C43">
            <w:pPr>
              <w:pStyle w:val="Infotext"/>
              <w:spacing w:after="240"/>
              <w:jc w:val="both"/>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D802A5A" w14:textId="470FEEF2" w:rsidR="00065680" w:rsidRPr="005E3A10" w:rsidRDefault="00661755" w:rsidP="001E1C43">
            <w:pPr>
              <w:jc w:val="both"/>
              <w:rPr>
                <w:rFonts w:cs="Arial"/>
                <w:szCs w:val="24"/>
              </w:rPr>
            </w:pPr>
            <w:r>
              <w:rPr>
                <w:rFonts w:cs="Arial"/>
                <w:szCs w:val="24"/>
              </w:rPr>
              <w:t>13/02/2024</w:t>
            </w:r>
          </w:p>
        </w:tc>
      </w:tr>
      <w:tr w:rsidR="00065680" w14:paraId="17D2DC82" w14:textId="77777777" w:rsidTr="008E1116">
        <w:tc>
          <w:tcPr>
            <w:tcW w:w="3456" w:type="dxa"/>
          </w:tcPr>
          <w:p w14:paraId="1A1F7CB2" w14:textId="77777777" w:rsidR="00065680" w:rsidRPr="00C13A5F" w:rsidRDefault="00065680" w:rsidP="001E1C43">
            <w:pPr>
              <w:pStyle w:val="Infotext"/>
              <w:spacing w:after="240"/>
              <w:jc w:val="both"/>
              <w:rPr>
                <w:rFonts w:ascii="Arial Black" w:hAnsi="Arial Black"/>
              </w:rPr>
            </w:pPr>
            <w:r w:rsidRPr="00C13A5F">
              <w:rPr>
                <w:rFonts w:ascii="Arial Black" w:hAnsi="Arial Black" w:cs="Arial"/>
              </w:rPr>
              <w:t>Subject:</w:t>
            </w:r>
          </w:p>
        </w:tc>
        <w:tc>
          <w:tcPr>
            <w:tcW w:w="5054" w:type="dxa"/>
          </w:tcPr>
          <w:p w14:paraId="44FF7907" w14:textId="1A22CC84" w:rsidR="00C86E86" w:rsidRPr="005E3A10" w:rsidRDefault="00C86E86" w:rsidP="001E1C43">
            <w:pPr>
              <w:jc w:val="both"/>
              <w:rPr>
                <w:rFonts w:cs="Arial"/>
                <w:szCs w:val="24"/>
              </w:rPr>
            </w:pPr>
            <w:r>
              <w:rPr>
                <w:rFonts w:cs="Arial"/>
              </w:rPr>
              <w:t xml:space="preserve">Application for a new premises licence for </w:t>
            </w:r>
            <w:r w:rsidR="007940BF" w:rsidRPr="007940BF">
              <w:rPr>
                <w:rFonts w:cs="Arial"/>
              </w:rPr>
              <w:t>IZZY FOOD CENTRE, 380 Kenton Road, Harrow, HA3 8DP.</w:t>
            </w:r>
          </w:p>
        </w:tc>
      </w:tr>
      <w:tr w:rsidR="00065680" w14:paraId="1A6A763E" w14:textId="77777777" w:rsidTr="008E1116">
        <w:tc>
          <w:tcPr>
            <w:tcW w:w="3456" w:type="dxa"/>
          </w:tcPr>
          <w:p w14:paraId="0F622E56" w14:textId="77777777" w:rsidR="00065680" w:rsidRPr="00C13A5F" w:rsidRDefault="00065680" w:rsidP="001E1C43">
            <w:pPr>
              <w:pStyle w:val="Infotext"/>
              <w:spacing w:after="240"/>
              <w:jc w:val="both"/>
              <w:rPr>
                <w:rFonts w:ascii="Arial Black" w:hAnsi="Arial Black" w:cs="Arial"/>
              </w:rPr>
            </w:pPr>
            <w:r w:rsidRPr="00C13A5F">
              <w:rPr>
                <w:rFonts w:ascii="Arial Black" w:hAnsi="Arial Black" w:cs="Arial"/>
              </w:rPr>
              <w:t>Responsible Officer:</w:t>
            </w:r>
          </w:p>
        </w:tc>
        <w:tc>
          <w:tcPr>
            <w:tcW w:w="5054" w:type="dxa"/>
          </w:tcPr>
          <w:p w14:paraId="160E9859" w14:textId="77777777" w:rsidR="00C86E86" w:rsidRDefault="00C86E86" w:rsidP="001E1C43">
            <w:pPr>
              <w:jc w:val="both"/>
              <w:rPr>
                <w:rFonts w:cs="Arial"/>
              </w:rPr>
            </w:pPr>
            <w:r>
              <w:rPr>
                <w:rFonts w:cs="Arial"/>
              </w:rPr>
              <w:t>Dipti Patel,</w:t>
            </w:r>
          </w:p>
          <w:p w14:paraId="48F75CC8" w14:textId="77777777" w:rsidR="00C86E86" w:rsidRDefault="00C86E86" w:rsidP="001E1C43">
            <w:pPr>
              <w:jc w:val="both"/>
              <w:rPr>
                <w:rFonts w:cs="Arial"/>
              </w:rPr>
            </w:pPr>
            <w:r>
              <w:rPr>
                <w:rFonts w:cs="Arial"/>
              </w:rPr>
              <w:t>Corporate Director, Place</w:t>
            </w:r>
          </w:p>
          <w:p w14:paraId="23EEC78F" w14:textId="77777777" w:rsidR="00065680" w:rsidRPr="005E3A10" w:rsidRDefault="00065680" w:rsidP="001E1C43">
            <w:pPr>
              <w:pStyle w:val="Infotext"/>
              <w:jc w:val="both"/>
              <w:rPr>
                <w:rFonts w:cs="Arial"/>
                <w:sz w:val="24"/>
                <w:szCs w:val="24"/>
              </w:rPr>
            </w:pPr>
          </w:p>
        </w:tc>
      </w:tr>
      <w:tr w:rsidR="00065680" w14:paraId="03C80162" w14:textId="77777777" w:rsidTr="008E1116">
        <w:tc>
          <w:tcPr>
            <w:tcW w:w="3456" w:type="dxa"/>
          </w:tcPr>
          <w:p w14:paraId="0146F255" w14:textId="77777777" w:rsidR="00065680" w:rsidRPr="00C13A5F" w:rsidRDefault="00065680" w:rsidP="001E1C43">
            <w:pPr>
              <w:pStyle w:val="Infotext"/>
              <w:spacing w:after="240"/>
              <w:jc w:val="both"/>
              <w:rPr>
                <w:rFonts w:ascii="Arial Black" w:hAnsi="Arial Black"/>
              </w:rPr>
            </w:pPr>
            <w:r w:rsidRPr="00DB6C3D">
              <w:rPr>
                <w:rFonts w:ascii="Arial Black" w:hAnsi="Arial Black"/>
              </w:rPr>
              <w:t>Exempt:</w:t>
            </w:r>
          </w:p>
        </w:tc>
        <w:tc>
          <w:tcPr>
            <w:tcW w:w="5054" w:type="dxa"/>
          </w:tcPr>
          <w:p w14:paraId="19CB5723" w14:textId="5576BCB7" w:rsidR="00065680" w:rsidRPr="005E3A10" w:rsidRDefault="00065680" w:rsidP="001E1C43">
            <w:pPr>
              <w:pStyle w:val="Infotext"/>
              <w:jc w:val="both"/>
              <w:rPr>
                <w:rFonts w:cs="Arial"/>
                <w:sz w:val="24"/>
                <w:szCs w:val="24"/>
              </w:rPr>
            </w:pPr>
            <w:r w:rsidRPr="005E3A10">
              <w:rPr>
                <w:rFonts w:cs="Arial"/>
                <w:sz w:val="24"/>
                <w:szCs w:val="24"/>
              </w:rPr>
              <w:t xml:space="preserve"> No</w:t>
            </w:r>
          </w:p>
          <w:p w14:paraId="66A5DACE" w14:textId="77777777" w:rsidR="00065680" w:rsidRPr="005E3A10" w:rsidRDefault="00065680" w:rsidP="001E1C43">
            <w:pPr>
              <w:pStyle w:val="Infotext"/>
              <w:jc w:val="both"/>
              <w:rPr>
                <w:rFonts w:cs="Arial"/>
                <w:color w:val="FF0000"/>
                <w:sz w:val="24"/>
                <w:szCs w:val="24"/>
              </w:rPr>
            </w:pPr>
          </w:p>
        </w:tc>
      </w:tr>
      <w:tr w:rsidR="00065680" w14:paraId="627569BD" w14:textId="77777777" w:rsidTr="008E1116">
        <w:tc>
          <w:tcPr>
            <w:tcW w:w="3456" w:type="dxa"/>
          </w:tcPr>
          <w:p w14:paraId="2AE9B956" w14:textId="77777777" w:rsidR="00065680" w:rsidRPr="00C13A5F" w:rsidRDefault="00065680" w:rsidP="001E1C43">
            <w:pPr>
              <w:pStyle w:val="Infotext"/>
              <w:spacing w:after="240"/>
              <w:jc w:val="both"/>
              <w:rPr>
                <w:rFonts w:ascii="Arial Black" w:hAnsi="Arial Black" w:cs="Arial"/>
              </w:rPr>
            </w:pPr>
            <w:r>
              <w:rPr>
                <w:rFonts w:ascii="Arial Black" w:hAnsi="Arial Black" w:cs="Arial"/>
              </w:rPr>
              <w:t>Wards affected:</w:t>
            </w:r>
          </w:p>
        </w:tc>
        <w:tc>
          <w:tcPr>
            <w:tcW w:w="5054" w:type="dxa"/>
          </w:tcPr>
          <w:p w14:paraId="0855E66C" w14:textId="03AA0C34" w:rsidR="00065680" w:rsidRPr="00131621" w:rsidRDefault="007940BF" w:rsidP="001E1C43">
            <w:pPr>
              <w:jc w:val="both"/>
              <w:rPr>
                <w:rFonts w:cs="Arial"/>
                <w:bCs/>
                <w:szCs w:val="24"/>
              </w:rPr>
            </w:pPr>
            <w:r>
              <w:rPr>
                <w:rFonts w:cs="Arial"/>
                <w:bCs/>
                <w:szCs w:val="24"/>
              </w:rPr>
              <w:t>Kenton East</w:t>
            </w:r>
          </w:p>
        </w:tc>
      </w:tr>
      <w:tr w:rsidR="00065680" w14:paraId="5BE0500A" w14:textId="77777777" w:rsidTr="008E1116">
        <w:tc>
          <w:tcPr>
            <w:tcW w:w="3456" w:type="dxa"/>
          </w:tcPr>
          <w:p w14:paraId="4D6673D1" w14:textId="77777777" w:rsidR="00065680" w:rsidRPr="00C13A5F" w:rsidRDefault="00065680" w:rsidP="001E1C43">
            <w:pPr>
              <w:pStyle w:val="Infotext"/>
              <w:spacing w:after="240"/>
              <w:jc w:val="both"/>
              <w:rPr>
                <w:rFonts w:ascii="Arial Black" w:hAnsi="Arial Black" w:cs="Arial"/>
              </w:rPr>
            </w:pPr>
            <w:r w:rsidRPr="00C13A5F">
              <w:rPr>
                <w:rFonts w:ascii="Arial Black" w:hAnsi="Arial Black" w:cs="Arial"/>
              </w:rPr>
              <w:t>Enclosures:</w:t>
            </w:r>
          </w:p>
        </w:tc>
        <w:tc>
          <w:tcPr>
            <w:tcW w:w="5054" w:type="dxa"/>
          </w:tcPr>
          <w:p w14:paraId="301AB189" w14:textId="08A122D8" w:rsidR="00065680" w:rsidRDefault="00C86E86" w:rsidP="001E1C43">
            <w:pPr>
              <w:pStyle w:val="Infotext"/>
              <w:jc w:val="both"/>
              <w:rPr>
                <w:sz w:val="24"/>
                <w:szCs w:val="24"/>
              </w:rPr>
            </w:pPr>
            <w:r>
              <w:rPr>
                <w:sz w:val="24"/>
                <w:szCs w:val="24"/>
              </w:rPr>
              <w:t>Appendix 1 – Application and premises plans for a premises licence</w:t>
            </w:r>
          </w:p>
          <w:p w14:paraId="496BF973" w14:textId="1A51CF5F" w:rsidR="00C86E86" w:rsidRDefault="00C86E86" w:rsidP="001E1C43">
            <w:pPr>
              <w:pStyle w:val="Infotext"/>
              <w:jc w:val="both"/>
              <w:rPr>
                <w:sz w:val="24"/>
                <w:szCs w:val="24"/>
              </w:rPr>
            </w:pPr>
            <w:r>
              <w:rPr>
                <w:sz w:val="24"/>
                <w:szCs w:val="24"/>
              </w:rPr>
              <w:t>Appendix 2 –</w:t>
            </w:r>
            <w:r w:rsidR="00757EA3">
              <w:rPr>
                <w:sz w:val="24"/>
                <w:szCs w:val="24"/>
              </w:rPr>
              <w:t xml:space="preserve"> </w:t>
            </w:r>
            <w:r w:rsidR="00A24E1E">
              <w:rPr>
                <w:sz w:val="24"/>
                <w:szCs w:val="24"/>
              </w:rPr>
              <w:t>Location map</w:t>
            </w:r>
          </w:p>
          <w:p w14:paraId="3AC151F9" w14:textId="55BD9CDB" w:rsidR="00C86E86" w:rsidRDefault="00C86E86" w:rsidP="001E1C43">
            <w:pPr>
              <w:pStyle w:val="Infotext"/>
              <w:jc w:val="both"/>
              <w:rPr>
                <w:sz w:val="24"/>
                <w:szCs w:val="24"/>
              </w:rPr>
            </w:pPr>
            <w:r>
              <w:rPr>
                <w:sz w:val="24"/>
                <w:szCs w:val="24"/>
              </w:rPr>
              <w:t xml:space="preserve">Appendix 3 – </w:t>
            </w:r>
            <w:r w:rsidR="00A24E1E">
              <w:rPr>
                <w:sz w:val="24"/>
                <w:szCs w:val="24"/>
              </w:rPr>
              <w:t>Representations</w:t>
            </w:r>
          </w:p>
          <w:p w14:paraId="3DCF7C4C" w14:textId="607D1992" w:rsidR="00F34CB7" w:rsidRPr="00C86E86" w:rsidRDefault="00F34CB7" w:rsidP="001E1C43">
            <w:pPr>
              <w:pStyle w:val="Infotext"/>
              <w:jc w:val="both"/>
              <w:rPr>
                <w:sz w:val="24"/>
                <w:szCs w:val="24"/>
              </w:rPr>
            </w:pPr>
            <w:r>
              <w:rPr>
                <w:sz w:val="24"/>
                <w:szCs w:val="24"/>
              </w:rPr>
              <w:t xml:space="preserve">Appendix 4 – </w:t>
            </w:r>
            <w:r w:rsidR="002D4A49">
              <w:rPr>
                <w:sz w:val="24"/>
                <w:szCs w:val="24"/>
              </w:rPr>
              <w:t xml:space="preserve">Proposed </w:t>
            </w:r>
            <w:r>
              <w:rPr>
                <w:sz w:val="24"/>
                <w:szCs w:val="24"/>
              </w:rPr>
              <w:t>conditions</w:t>
            </w:r>
            <w:r w:rsidR="002D4A49">
              <w:rPr>
                <w:sz w:val="24"/>
                <w:szCs w:val="24"/>
              </w:rPr>
              <w:t xml:space="preserve"> agreed with the Police</w:t>
            </w:r>
            <w:r w:rsidR="0067229E">
              <w:rPr>
                <w:sz w:val="24"/>
                <w:szCs w:val="24"/>
              </w:rPr>
              <w:t xml:space="preserve"> and Licensing Authority</w:t>
            </w:r>
          </w:p>
        </w:tc>
      </w:tr>
    </w:tbl>
    <w:p w14:paraId="476B8712" w14:textId="581F9B5A" w:rsidR="00065680" w:rsidRDefault="00E624D0" w:rsidP="001E1C43">
      <w:pPr>
        <w:spacing w:after="240"/>
        <w:jc w:val="both"/>
        <w:rPr>
          <w:rFonts w:cs="Arial"/>
        </w:rPr>
      </w:pPr>
      <w:r>
        <w:rPr>
          <w:rFonts w:cs="Arial"/>
        </w:rPr>
        <w:t xml:space="preserve">                                                     Appendix 5 – </w:t>
      </w:r>
      <w:r w:rsidR="00496A90">
        <w:rPr>
          <w:rFonts w:cs="Arial"/>
        </w:rPr>
        <w:t>Submission from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6AF514B0" w14:textId="77777777" w:rsidTr="008E1116">
        <w:trPr>
          <w:tblHeader/>
        </w:trPr>
        <w:tc>
          <w:tcPr>
            <w:tcW w:w="8525" w:type="dxa"/>
            <w:tcBorders>
              <w:top w:val="nil"/>
              <w:left w:val="nil"/>
              <w:right w:val="nil"/>
            </w:tcBorders>
          </w:tcPr>
          <w:p w14:paraId="0329858D" w14:textId="77777777" w:rsidR="00065680" w:rsidRDefault="00065680" w:rsidP="001E1C43">
            <w:pPr>
              <w:pStyle w:val="Heading2"/>
              <w:spacing w:after="240"/>
              <w:jc w:val="both"/>
            </w:pPr>
            <w:r>
              <w:t>Sectio</w:t>
            </w:r>
            <w:r w:rsidR="00BD6333">
              <w:t>n 1 – Summary</w:t>
            </w:r>
          </w:p>
        </w:tc>
      </w:tr>
      <w:tr w:rsidR="00065680" w14:paraId="7FBB2A5D" w14:textId="77777777" w:rsidTr="008E1116">
        <w:trPr>
          <w:tblHeader/>
        </w:trPr>
        <w:tc>
          <w:tcPr>
            <w:tcW w:w="8525" w:type="dxa"/>
          </w:tcPr>
          <w:p w14:paraId="7C71A833" w14:textId="4C61DE1A" w:rsidR="00AD5538" w:rsidRDefault="00C86E86" w:rsidP="001E1C43">
            <w:pPr>
              <w:jc w:val="both"/>
              <w:rPr>
                <w:bCs/>
              </w:rPr>
            </w:pPr>
            <w:r>
              <w:rPr>
                <w:bCs/>
              </w:rPr>
              <w:t xml:space="preserve">An application for a new premises licence </w:t>
            </w:r>
            <w:r w:rsidR="00942ABC">
              <w:rPr>
                <w:bCs/>
              </w:rPr>
              <w:t>under Section 17 of the Licensing Act</w:t>
            </w:r>
            <w:r w:rsidR="0098767C">
              <w:rPr>
                <w:bCs/>
              </w:rPr>
              <w:t xml:space="preserve"> 2003 (the “Act”)</w:t>
            </w:r>
            <w:r w:rsidR="00942ABC">
              <w:rPr>
                <w:bCs/>
              </w:rPr>
              <w:t xml:space="preserve"> </w:t>
            </w:r>
            <w:r>
              <w:rPr>
                <w:bCs/>
              </w:rPr>
              <w:t>has been received for</w:t>
            </w:r>
            <w:bookmarkStart w:id="0" w:name="_Hlk137800783"/>
            <w:r w:rsidR="007940BF">
              <w:rPr>
                <w:bCs/>
              </w:rPr>
              <w:t xml:space="preserve"> </w:t>
            </w:r>
            <w:r w:rsidR="007940BF" w:rsidRPr="007940BF">
              <w:rPr>
                <w:bCs/>
              </w:rPr>
              <w:t>IZZY FOOD CENTRE, 380 Kenton Road, Harrow, HA3 8DP.</w:t>
            </w:r>
          </w:p>
          <w:bookmarkEnd w:id="0"/>
          <w:p w14:paraId="0205E115" w14:textId="77777777" w:rsidR="007940BF" w:rsidRDefault="007940BF" w:rsidP="001E1C43">
            <w:pPr>
              <w:jc w:val="both"/>
              <w:rPr>
                <w:bCs/>
              </w:rPr>
            </w:pPr>
          </w:p>
          <w:p w14:paraId="5BAED42A" w14:textId="2BEDEDC3" w:rsidR="00AD5538" w:rsidRDefault="007940BF" w:rsidP="001E1C43">
            <w:pPr>
              <w:jc w:val="both"/>
              <w:rPr>
                <w:bCs/>
              </w:rPr>
            </w:pPr>
            <w:r>
              <w:rPr>
                <w:bCs/>
              </w:rPr>
              <w:t>R</w:t>
            </w:r>
            <w:r w:rsidR="00C86E86">
              <w:rPr>
                <w:bCs/>
              </w:rPr>
              <w:t>epresentation</w:t>
            </w:r>
            <w:r>
              <w:rPr>
                <w:bCs/>
              </w:rPr>
              <w:t>s</w:t>
            </w:r>
            <w:r w:rsidR="00C86E86">
              <w:rPr>
                <w:bCs/>
              </w:rPr>
              <w:t xml:space="preserve"> h</w:t>
            </w:r>
            <w:r w:rsidR="00926E4D">
              <w:rPr>
                <w:bCs/>
              </w:rPr>
              <w:t>a</w:t>
            </w:r>
            <w:r>
              <w:rPr>
                <w:bCs/>
              </w:rPr>
              <w:t xml:space="preserve">ve </w:t>
            </w:r>
            <w:r w:rsidR="00C86E86">
              <w:rPr>
                <w:bCs/>
              </w:rPr>
              <w:t>been received from</w:t>
            </w:r>
            <w:r w:rsidR="000C1BFD">
              <w:rPr>
                <w:bCs/>
              </w:rPr>
              <w:t xml:space="preserve"> </w:t>
            </w:r>
            <w:r w:rsidR="001169C0">
              <w:rPr>
                <w:bCs/>
              </w:rPr>
              <w:t>o</w:t>
            </w:r>
            <w:r w:rsidR="0056590B">
              <w:rPr>
                <w:bCs/>
              </w:rPr>
              <w:t xml:space="preserve">ther persons including bodies representing </w:t>
            </w:r>
            <w:proofErr w:type="gramStart"/>
            <w:r w:rsidR="0056590B">
              <w:rPr>
                <w:bCs/>
              </w:rPr>
              <w:t>local residents</w:t>
            </w:r>
            <w:proofErr w:type="gramEnd"/>
            <w:r w:rsidR="0056590B">
              <w:rPr>
                <w:bCs/>
              </w:rPr>
              <w:t xml:space="preserve">. </w:t>
            </w:r>
          </w:p>
          <w:p w14:paraId="04B5A576" w14:textId="77777777" w:rsidR="00AD5538" w:rsidRDefault="00AD5538" w:rsidP="001E1C43">
            <w:pPr>
              <w:jc w:val="both"/>
              <w:rPr>
                <w:bCs/>
              </w:rPr>
            </w:pPr>
          </w:p>
          <w:p w14:paraId="24417F3E" w14:textId="5A684919" w:rsidR="00065680" w:rsidRDefault="00C86E86" w:rsidP="001E1C43">
            <w:pPr>
              <w:jc w:val="both"/>
            </w:pPr>
            <w:r>
              <w:rPr>
                <w:bCs/>
              </w:rPr>
              <w:t>The representation</w:t>
            </w:r>
            <w:r w:rsidR="007940BF">
              <w:rPr>
                <w:bCs/>
              </w:rPr>
              <w:t>s</w:t>
            </w:r>
            <w:r>
              <w:rPr>
                <w:bCs/>
              </w:rPr>
              <w:t xml:space="preserve"> express concerns about the possible undermining of one or more of the licensing objectives should the licence be granted.</w:t>
            </w:r>
          </w:p>
        </w:tc>
      </w:tr>
    </w:tbl>
    <w:p w14:paraId="07A49C72" w14:textId="77777777" w:rsidR="00CD2320" w:rsidRDefault="00CD2320" w:rsidP="001E1C43">
      <w:pPr>
        <w:pStyle w:val="Heading3"/>
      </w:pPr>
    </w:p>
    <w:p w14:paraId="4C09E147" w14:textId="77777777" w:rsidR="00CD2320" w:rsidRDefault="00CD2320" w:rsidP="001E1C43">
      <w:pPr>
        <w:pStyle w:val="Heading3"/>
      </w:pPr>
    </w:p>
    <w:p w14:paraId="4AFDC2D6" w14:textId="77777777" w:rsidR="00CD2320" w:rsidRDefault="00CD2320" w:rsidP="001E1C43">
      <w:pPr>
        <w:pStyle w:val="Heading3"/>
      </w:pPr>
    </w:p>
    <w:p w14:paraId="55E2E9D1" w14:textId="026DD369" w:rsidR="006A233E" w:rsidRDefault="00222613" w:rsidP="001E1C43">
      <w:pPr>
        <w:pStyle w:val="Heading2"/>
        <w:jc w:val="both"/>
      </w:pPr>
      <w:r>
        <w:t>S</w:t>
      </w:r>
      <w:r w:rsidR="006A233E">
        <w:t>ection 2 – Report</w:t>
      </w:r>
    </w:p>
    <w:p w14:paraId="7E55D118" w14:textId="0D8B0F46" w:rsidR="00EA784C" w:rsidRDefault="00197E63" w:rsidP="0058530E">
      <w:pPr>
        <w:ind w:left="709" w:hanging="709"/>
        <w:jc w:val="both"/>
      </w:pPr>
      <w:r>
        <w:t>2.1</w:t>
      </w:r>
      <w:r>
        <w:tab/>
        <w:t>T</w:t>
      </w:r>
      <w:r w:rsidR="00EA784C" w:rsidRPr="00197E63">
        <w:t>his report asks the Sub-Committee to consider an application for a new premises licence</w:t>
      </w:r>
      <w:r w:rsidR="0098767C">
        <w:t>.</w:t>
      </w:r>
    </w:p>
    <w:p w14:paraId="64F0DFA0" w14:textId="77777777" w:rsidR="00197E63" w:rsidRPr="00197E63" w:rsidRDefault="00197E63" w:rsidP="0058530E">
      <w:pPr>
        <w:ind w:left="709" w:hanging="709"/>
        <w:jc w:val="both"/>
      </w:pPr>
    </w:p>
    <w:p w14:paraId="37D2B11B" w14:textId="102FFAD4" w:rsidR="00197E63" w:rsidRPr="00197E63" w:rsidRDefault="00EA784C" w:rsidP="0058530E">
      <w:pPr>
        <w:ind w:left="709" w:hanging="709"/>
        <w:jc w:val="both"/>
      </w:pPr>
      <w:r w:rsidRPr="00197E63">
        <w:t>2.2</w:t>
      </w:r>
      <w:r w:rsidRPr="00197E63">
        <w:tab/>
      </w:r>
      <w:r w:rsidR="007940BF" w:rsidRPr="007940BF">
        <w:t>C.</w:t>
      </w:r>
      <w:r w:rsidR="001169C0">
        <w:t>B</w:t>
      </w:r>
      <w:r w:rsidR="007940BF" w:rsidRPr="007940BF">
        <w:t>. Market Ltd</w:t>
      </w:r>
      <w:r w:rsidR="007940BF">
        <w:t xml:space="preserve"> </w:t>
      </w:r>
      <w:r w:rsidR="0098767C">
        <w:t>(the “</w:t>
      </w:r>
      <w:r w:rsidR="0098767C" w:rsidRPr="0058530E">
        <w:rPr>
          <w:b/>
          <w:bCs/>
        </w:rPr>
        <w:t>Applicant</w:t>
      </w:r>
      <w:r w:rsidR="0098767C">
        <w:t xml:space="preserve">”) </w:t>
      </w:r>
      <w:r w:rsidR="00D771A8" w:rsidRPr="00197E63">
        <w:t xml:space="preserve">submitted </w:t>
      </w:r>
      <w:r w:rsidR="00B84781" w:rsidRPr="00197E63">
        <w:t>a</w:t>
      </w:r>
      <w:r w:rsidR="00C709A8">
        <w:t>n</w:t>
      </w:r>
      <w:r w:rsidR="00F80769" w:rsidRPr="00197E63">
        <w:t xml:space="preserve"> application on </w:t>
      </w:r>
      <w:r w:rsidR="007940BF">
        <w:t xml:space="preserve">14 December </w:t>
      </w:r>
      <w:r w:rsidR="00131621" w:rsidRPr="00131621">
        <w:t>2023</w:t>
      </w:r>
      <w:r w:rsidR="005F30F2" w:rsidRPr="00197E63">
        <w:t xml:space="preserve"> </w:t>
      </w:r>
      <w:r w:rsidR="00AA5045" w:rsidRPr="00197E63">
        <w:t>for a new premises licence for</w:t>
      </w:r>
      <w:r w:rsidR="007940BF">
        <w:t xml:space="preserve"> </w:t>
      </w:r>
      <w:r w:rsidR="007940BF" w:rsidRPr="007940BF">
        <w:t>IZZY FOOD CENTRE, 380 Kenton Road, Harrow, HA3 8DP</w:t>
      </w:r>
      <w:r w:rsidR="0098767C">
        <w:t xml:space="preserve"> (the “</w:t>
      </w:r>
      <w:r w:rsidR="0098767C" w:rsidRPr="0058530E">
        <w:rPr>
          <w:b/>
          <w:bCs/>
        </w:rPr>
        <w:t>Premises</w:t>
      </w:r>
      <w:r w:rsidR="0098767C">
        <w:t>”)</w:t>
      </w:r>
      <w:r w:rsidR="007940BF" w:rsidRPr="007940BF">
        <w:t>.</w:t>
      </w:r>
      <w:r w:rsidR="000C1BFD" w:rsidRPr="00197E63">
        <w:t xml:space="preserve"> </w:t>
      </w:r>
      <w:r w:rsidR="00AA5045" w:rsidRPr="00197E63">
        <w:t xml:space="preserve"> </w:t>
      </w:r>
      <w:r w:rsidR="0098767C">
        <w:t xml:space="preserve"> A copy of the application is </w:t>
      </w:r>
      <w:r w:rsidR="00AA31BC">
        <w:t xml:space="preserve">included as </w:t>
      </w:r>
      <w:r w:rsidR="00AA5045" w:rsidRPr="00197E63">
        <w:t>Appendix 1</w:t>
      </w:r>
      <w:r w:rsidR="009D7C9A">
        <w:t xml:space="preserve"> </w:t>
      </w:r>
      <w:r w:rsidR="00AA31BC">
        <w:t>to this report</w:t>
      </w:r>
      <w:r w:rsidR="00AA5045" w:rsidRPr="00197E63">
        <w:t xml:space="preserve">. </w:t>
      </w:r>
      <w:r w:rsidR="00F80769" w:rsidRPr="00197E63">
        <w:t xml:space="preserve"> </w:t>
      </w:r>
    </w:p>
    <w:p w14:paraId="61F3A0E4" w14:textId="77777777" w:rsidR="00197E63" w:rsidRPr="00197E63" w:rsidRDefault="00197E63" w:rsidP="0058530E">
      <w:pPr>
        <w:pStyle w:val="ListParagraph"/>
        <w:ind w:left="709" w:hanging="709"/>
        <w:jc w:val="both"/>
      </w:pPr>
    </w:p>
    <w:p w14:paraId="1C19AF54" w14:textId="2BAFB1AD" w:rsidR="00197E63" w:rsidRPr="00B51600" w:rsidRDefault="00F80769" w:rsidP="0058530E">
      <w:pPr>
        <w:pStyle w:val="ListParagraph"/>
        <w:numPr>
          <w:ilvl w:val="1"/>
          <w:numId w:val="28"/>
        </w:numPr>
        <w:ind w:left="709" w:hanging="709"/>
        <w:jc w:val="both"/>
      </w:pPr>
      <w:r w:rsidRPr="00197E63">
        <w:t xml:space="preserve">The period for </w:t>
      </w:r>
      <w:r w:rsidR="005F30F2" w:rsidRPr="00197E63">
        <w:t>representations</w:t>
      </w:r>
      <w:r w:rsidRPr="00197E63">
        <w:t xml:space="preserve"> </w:t>
      </w:r>
      <w:r w:rsidR="00F64F58">
        <w:t xml:space="preserve">for this application was </w:t>
      </w:r>
      <w:r w:rsidRPr="00197E63">
        <w:t xml:space="preserve">from </w:t>
      </w:r>
      <w:r w:rsidR="007940BF">
        <w:t>20</w:t>
      </w:r>
      <w:r w:rsidR="007940BF">
        <w:rPr>
          <w:vertAlign w:val="superscript"/>
        </w:rPr>
        <w:t xml:space="preserve"> </w:t>
      </w:r>
      <w:r w:rsidR="007940BF">
        <w:t xml:space="preserve">December </w:t>
      </w:r>
      <w:r w:rsidR="005F30F2" w:rsidRPr="00197E63">
        <w:t>2023</w:t>
      </w:r>
      <w:r w:rsidRPr="00197E63">
        <w:t xml:space="preserve"> to</w:t>
      </w:r>
      <w:r w:rsidR="007940BF">
        <w:t xml:space="preserve"> 17 January 2024</w:t>
      </w:r>
      <w:r w:rsidR="00F64F58">
        <w:t xml:space="preserve">, </w:t>
      </w:r>
      <w:proofErr w:type="gramStart"/>
      <w:r w:rsidR="00DA5F60">
        <w:t>As</w:t>
      </w:r>
      <w:proofErr w:type="gramEnd"/>
      <w:r w:rsidR="00DA5F60">
        <w:t xml:space="preserve"> representations r</w:t>
      </w:r>
      <w:r w:rsidR="00AC438A">
        <w:t>emain</w:t>
      </w:r>
      <w:r w:rsidR="00C27751">
        <w:t xml:space="preserve"> </w:t>
      </w:r>
      <w:r w:rsidR="00AA5BC0">
        <w:t>unresolved</w:t>
      </w:r>
      <w:r w:rsidR="001E1C43">
        <w:t xml:space="preserve"> a</w:t>
      </w:r>
      <w:r w:rsidR="00B51600" w:rsidRPr="00DA07C4">
        <w:t xml:space="preserve"> hearing is required </w:t>
      </w:r>
      <w:r w:rsidR="00F61142">
        <w:t xml:space="preserve">for the </w:t>
      </w:r>
      <w:r w:rsidR="00AA31BC">
        <w:t>a</w:t>
      </w:r>
      <w:r w:rsidR="00F61142">
        <w:t xml:space="preserve">pplication </w:t>
      </w:r>
      <w:r w:rsidR="00B51600" w:rsidRPr="00DA07C4">
        <w:t>to be considered by the Sub-Committee.</w:t>
      </w:r>
    </w:p>
    <w:p w14:paraId="2067DE91" w14:textId="77777777" w:rsidR="00197E63" w:rsidRDefault="00197E63" w:rsidP="001E1C43">
      <w:pPr>
        <w:pStyle w:val="ListParagraph"/>
        <w:ind w:left="851" w:hanging="851"/>
        <w:jc w:val="both"/>
      </w:pPr>
    </w:p>
    <w:p w14:paraId="74ABEBEB" w14:textId="7DCC3899" w:rsidR="006A233E" w:rsidRPr="00197E63" w:rsidRDefault="00AA5045" w:rsidP="009D7C9A">
      <w:pPr>
        <w:pStyle w:val="ListParagraph"/>
        <w:numPr>
          <w:ilvl w:val="1"/>
          <w:numId w:val="28"/>
        </w:numPr>
        <w:ind w:left="709" w:hanging="709"/>
        <w:jc w:val="both"/>
      </w:pPr>
      <w:r w:rsidRPr="00197E63">
        <w:t>The</w:t>
      </w:r>
      <w:r w:rsidR="00412B64" w:rsidRPr="00197E63">
        <w:t xml:space="preserve"> applicant has applied for the following</w:t>
      </w:r>
      <w:r w:rsidR="00BB3AD2" w:rsidRPr="00197E63">
        <w:t xml:space="preserve"> hours</w:t>
      </w:r>
      <w:r w:rsidR="00C45801">
        <w:t xml:space="preserve"> open to the public</w:t>
      </w:r>
      <w:r w:rsidR="00BB3AD2" w:rsidRPr="00197E63">
        <w:t xml:space="preserve"> and licensable activities:</w:t>
      </w:r>
    </w:p>
    <w:tbl>
      <w:tblPr>
        <w:tblStyle w:val="TableGrid"/>
        <w:tblpPr w:leftFromText="180" w:rightFromText="180" w:vertAnchor="text" w:horzAnchor="page" w:tblpX="3606" w:tblpY="103"/>
        <w:tblW w:w="5098" w:type="dxa"/>
        <w:tblLook w:val="04A0" w:firstRow="1" w:lastRow="0" w:firstColumn="1" w:lastColumn="0" w:noHBand="0" w:noVBand="1"/>
      </w:tblPr>
      <w:tblGrid>
        <w:gridCol w:w="1506"/>
        <w:gridCol w:w="1828"/>
        <w:gridCol w:w="1764"/>
      </w:tblGrid>
      <w:tr w:rsidR="00995B2E" w14:paraId="2AB11595" w14:textId="13EF555D" w:rsidTr="001E1C43">
        <w:tc>
          <w:tcPr>
            <w:tcW w:w="1506" w:type="dxa"/>
          </w:tcPr>
          <w:p w14:paraId="5A37535C" w14:textId="77777777" w:rsidR="00995B2E" w:rsidRDefault="00995B2E" w:rsidP="001E1C43">
            <w:pPr>
              <w:ind w:left="851" w:hanging="851"/>
              <w:jc w:val="both"/>
            </w:pPr>
          </w:p>
        </w:tc>
        <w:tc>
          <w:tcPr>
            <w:tcW w:w="1828" w:type="dxa"/>
          </w:tcPr>
          <w:p w14:paraId="07088BD6" w14:textId="675589FD" w:rsidR="00995B2E" w:rsidRDefault="00995B2E" w:rsidP="00661755">
            <w:r>
              <w:t>Retail sale of alcohol</w:t>
            </w:r>
            <w:r w:rsidR="00AA31BC">
              <w:t xml:space="preserve"> – off sales</w:t>
            </w:r>
          </w:p>
        </w:tc>
        <w:tc>
          <w:tcPr>
            <w:tcW w:w="1764" w:type="dxa"/>
          </w:tcPr>
          <w:p w14:paraId="6DE9500E" w14:textId="77777777" w:rsidR="00995B2E" w:rsidRDefault="00995B2E" w:rsidP="00661755">
            <w:pPr>
              <w:jc w:val="both"/>
            </w:pPr>
            <w:r>
              <w:t>Hours open to public</w:t>
            </w:r>
          </w:p>
        </w:tc>
      </w:tr>
      <w:tr w:rsidR="00FF5D88" w14:paraId="76EECA1E" w14:textId="2C644738" w:rsidTr="001E1C43">
        <w:tc>
          <w:tcPr>
            <w:tcW w:w="1506" w:type="dxa"/>
          </w:tcPr>
          <w:p w14:paraId="6695CF91" w14:textId="77777777" w:rsidR="00FF5D88" w:rsidRDefault="00FF5D88" w:rsidP="001E1C43">
            <w:pPr>
              <w:ind w:left="851" w:hanging="851"/>
              <w:jc w:val="both"/>
            </w:pPr>
            <w:r>
              <w:t>Monday</w:t>
            </w:r>
          </w:p>
        </w:tc>
        <w:tc>
          <w:tcPr>
            <w:tcW w:w="1828" w:type="dxa"/>
          </w:tcPr>
          <w:p w14:paraId="307C74B8" w14:textId="3DF447CC" w:rsidR="00FF5D88" w:rsidRPr="008B29FE" w:rsidRDefault="00FF5D88" w:rsidP="001E1C43">
            <w:pPr>
              <w:ind w:left="851" w:hanging="851"/>
              <w:jc w:val="both"/>
            </w:pPr>
            <w:r>
              <w:t>0</w:t>
            </w:r>
            <w:r w:rsidR="007940BF">
              <w:t>0</w:t>
            </w:r>
            <w:r>
              <w:t>:0</w:t>
            </w:r>
            <w:r w:rsidR="002A3D29">
              <w:t>0</w:t>
            </w:r>
            <w:r>
              <w:t xml:space="preserve"> – </w:t>
            </w:r>
            <w:r w:rsidR="002A3D29">
              <w:t>23:59</w:t>
            </w:r>
          </w:p>
        </w:tc>
        <w:tc>
          <w:tcPr>
            <w:tcW w:w="1764" w:type="dxa"/>
          </w:tcPr>
          <w:p w14:paraId="31968811" w14:textId="5F9398A0" w:rsidR="00FF5D88" w:rsidRDefault="00FF5D88" w:rsidP="001E1C43">
            <w:pPr>
              <w:ind w:left="851" w:hanging="851"/>
              <w:jc w:val="both"/>
            </w:pPr>
            <w:r>
              <w:t>0</w:t>
            </w:r>
            <w:r w:rsidR="007940BF">
              <w:t>0</w:t>
            </w:r>
            <w:r>
              <w:t>:00</w:t>
            </w:r>
            <w:r w:rsidR="00AA31BC">
              <w:t xml:space="preserve"> </w:t>
            </w:r>
            <w:r>
              <w:t>–</w:t>
            </w:r>
            <w:r w:rsidR="00AA31BC">
              <w:t xml:space="preserve"> </w:t>
            </w:r>
            <w:r w:rsidR="00AA5BC0">
              <w:t>23:59</w:t>
            </w:r>
          </w:p>
        </w:tc>
      </w:tr>
      <w:tr w:rsidR="00FF5D88" w14:paraId="3446A7FB" w14:textId="735476B2" w:rsidTr="001E1C43">
        <w:tc>
          <w:tcPr>
            <w:tcW w:w="1506" w:type="dxa"/>
          </w:tcPr>
          <w:p w14:paraId="41CCC7DA" w14:textId="77777777" w:rsidR="00FF5D88" w:rsidRDefault="00FF5D88" w:rsidP="001E1C43">
            <w:pPr>
              <w:ind w:left="851" w:hanging="851"/>
              <w:jc w:val="both"/>
            </w:pPr>
            <w:r>
              <w:t>Tuesday</w:t>
            </w:r>
          </w:p>
        </w:tc>
        <w:tc>
          <w:tcPr>
            <w:tcW w:w="1828" w:type="dxa"/>
          </w:tcPr>
          <w:p w14:paraId="0B9BD6E1" w14:textId="2D0BA5EF" w:rsidR="00FF5D88" w:rsidRPr="008B29FE" w:rsidRDefault="00FF5D88" w:rsidP="001E1C43">
            <w:pPr>
              <w:ind w:left="851" w:hanging="851"/>
              <w:jc w:val="both"/>
            </w:pPr>
            <w:r>
              <w:t>0</w:t>
            </w:r>
            <w:r w:rsidR="007940BF">
              <w:t>0</w:t>
            </w:r>
            <w:r w:rsidRPr="008765AD">
              <w:t>:</w:t>
            </w:r>
            <w:r>
              <w:t>0</w:t>
            </w:r>
            <w:r w:rsidRPr="008765AD">
              <w:t xml:space="preserve">0 – </w:t>
            </w:r>
            <w:r w:rsidR="002A3D29" w:rsidRPr="002A3D29">
              <w:t>23:59</w:t>
            </w:r>
          </w:p>
        </w:tc>
        <w:tc>
          <w:tcPr>
            <w:tcW w:w="1764" w:type="dxa"/>
          </w:tcPr>
          <w:p w14:paraId="748F308E" w14:textId="0068F11C" w:rsidR="00FF5D88" w:rsidRDefault="00FF5D88" w:rsidP="001E1C43">
            <w:pPr>
              <w:ind w:left="851" w:hanging="851"/>
              <w:jc w:val="both"/>
            </w:pPr>
            <w:r>
              <w:t>0</w:t>
            </w:r>
            <w:r w:rsidR="007940BF">
              <w:t>0</w:t>
            </w:r>
            <w:r>
              <w:t xml:space="preserve">:00 – </w:t>
            </w:r>
            <w:r w:rsidR="00AA5BC0">
              <w:t>23:59</w:t>
            </w:r>
          </w:p>
        </w:tc>
      </w:tr>
      <w:tr w:rsidR="00FF5D88" w14:paraId="3ACF4DC1" w14:textId="4B0D60BF" w:rsidTr="001E1C43">
        <w:tc>
          <w:tcPr>
            <w:tcW w:w="1506" w:type="dxa"/>
          </w:tcPr>
          <w:p w14:paraId="15A70D58" w14:textId="77777777" w:rsidR="00FF5D88" w:rsidRDefault="00FF5D88" w:rsidP="001E1C43">
            <w:pPr>
              <w:ind w:left="851" w:hanging="851"/>
              <w:jc w:val="both"/>
            </w:pPr>
            <w:r>
              <w:t>Wednesday</w:t>
            </w:r>
          </w:p>
        </w:tc>
        <w:tc>
          <w:tcPr>
            <w:tcW w:w="1828" w:type="dxa"/>
          </w:tcPr>
          <w:p w14:paraId="56BC87C3" w14:textId="46508294" w:rsidR="00FF5D88" w:rsidRPr="008B29FE" w:rsidRDefault="00FF5D88" w:rsidP="001E1C43">
            <w:pPr>
              <w:ind w:left="851" w:hanging="851"/>
              <w:jc w:val="both"/>
            </w:pPr>
            <w:r>
              <w:t>0</w:t>
            </w:r>
            <w:r w:rsidR="007940BF">
              <w:t>0</w:t>
            </w:r>
            <w:r w:rsidRPr="008765AD">
              <w:t>:</w:t>
            </w:r>
            <w:r>
              <w:t>0</w:t>
            </w:r>
            <w:r w:rsidRPr="008765AD">
              <w:t xml:space="preserve">0 – </w:t>
            </w:r>
            <w:r w:rsidR="002A3D29">
              <w:t>23:59</w:t>
            </w:r>
          </w:p>
        </w:tc>
        <w:tc>
          <w:tcPr>
            <w:tcW w:w="1764" w:type="dxa"/>
          </w:tcPr>
          <w:p w14:paraId="19B11DC2" w14:textId="0E131F19" w:rsidR="00FF5D88" w:rsidRDefault="00FF5D88" w:rsidP="001E1C43">
            <w:pPr>
              <w:ind w:left="851" w:hanging="851"/>
              <w:jc w:val="both"/>
            </w:pPr>
            <w:r>
              <w:t>0</w:t>
            </w:r>
            <w:r w:rsidR="007940BF">
              <w:t>0</w:t>
            </w:r>
            <w:r>
              <w:t xml:space="preserve">:00 – </w:t>
            </w:r>
            <w:r w:rsidR="00AA5BC0">
              <w:t>23:59</w:t>
            </w:r>
          </w:p>
        </w:tc>
      </w:tr>
      <w:tr w:rsidR="00FF5D88" w14:paraId="24B70E65" w14:textId="0CAE0C91" w:rsidTr="001E1C43">
        <w:tc>
          <w:tcPr>
            <w:tcW w:w="1506" w:type="dxa"/>
          </w:tcPr>
          <w:p w14:paraId="3DE6BA62" w14:textId="77777777" w:rsidR="00FF5D88" w:rsidRDefault="00FF5D88" w:rsidP="001E1C43">
            <w:pPr>
              <w:ind w:left="851" w:hanging="851"/>
              <w:jc w:val="both"/>
            </w:pPr>
            <w:r>
              <w:t>Thursday</w:t>
            </w:r>
          </w:p>
        </w:tc>
        <w:tc>
          <w:tcPr>
            <w:tcW w:w="1828" w:type="dxa"/>
          </w:tcPr>
          <w:p w14:paraId="403F631F" w14:textId="31DB3F73" w:rsidR="00FF5D88" w:rsidRPr="008B29FE" w:rsidRDefault="00FF5D88" w:rsidP="001E1C43">
            <w:pPr>
              <w:ind w:left="851" w:hanging="851"/>
              <w:jc w:val="both"/>
            </w:pPr>
            <w:r>
              <w:t>0</w:t>
            </w:r>
            <w:r w:rsidR="007940BF">
              <w:t>0</w:t>
            </w:r>
            <w:r w:rsidRPr="008765AD">
              <w:t>:</w:t>
            </w:r>
            <w:r>
              <w:t>0</w:t>
            </w:r>
            <w:r w:rsidRPr="008765AD">
              <w:t xml:space="preserve">0 – </w:t>
            </w:r>
            <w:r w:rsidR="002A3D29">
              <w:t>23:59</w:t>
            </w:r>
          </w:p>
        </w:tc>
        <w:tc>
          <w:tcPr>
            <w:tcW w:w="1764" w:type="dxa"/>
          </w:tcPr>
          <w:p w14:paraId="5ACA79FF" w14:textId="160F8575" w:rsidR="00FF5D88" w:rsidRDefault="00FF5D88" w:rsidP="001E1C43">
            <w:pPr>
              <w:ind w:left="851" w:hanging="851"/>
              <w:jc w:val="both"/>
            </w:pPr>
            <w:r>
              <w:t>0</w:t>
            </w:r>
            <w:r w:rsidR="007940BF">
              <w:t>0</w:t>
            </w:r>
            <w:r>
              <w:t xml:space="preserve">:00 – </w:t>
            </w:r>
            <w:r w:rsidR="00AA5BC0">
              <w:t>23:59</w:t>
            </w:r>
          </w:p>
        </w:tc>
      </w:tr>
      <w:tr w:rsidR="00FF5D88" w14:paraId="1D46CFD2" w14:textId="7C0CD916" w:rsidTr="001E1C43">
        <w:tc>
          <w:tcPr>
            <w:tcW w:w="1506" w:type="dxa"/>
          </w:tcPr>
          <w:p w14:paraId="1DAFFB9B" w14:textId="77777777" w:rsidR="00FF5D88" w:rsidRDefault="00FF5D88" w:rsidP="001E1C43">
            <w:pPr>
              <w:ind w:left="851" w:hanging="851"/>
              <w:jc w:val="both"/>
            </w:pPr>
            <w:r>
              <w:t>Friday</w:t>
            </w:r>
          </w:p>
        </w:tc>
        <w:tc>
          <w:tcPr>
            <w:tcW w:w="1828" w:type="dxa"/>
          </w:tcPr>
          <w:p w14:paraId="4E0EEF1D" w14:textId="48DE6C1E" w:rsidR="00FF5D88" w:rsidRPr="008B29FE" w:rsidRDefault="00FF5D88" w:rsidP="001E1C43">
            <w:pPr>
              <w:ind w:left="851" w:hanging="851"/>
              <w:jc w:val="both"/>
            </w:pPr>
            <w:r>
              <w:t>0</w:t>
            </w:r>
            <w:r w:rsidR="007940BF">
              <w:t>0</w:t>
            </w:r>
            <w:r w:rsidRPr="008765AD">
              <w:t>:</w:t>
            </w:r>
            <w:r>
              <w:t>0</w:t>
            </w:r>
            <w:r w:rsidRPr="008765AD">
              <w:t xml:space="preserve">0 – </w:t>
            </w:r>
            <w:r w:rsidR="00F80A73">
              <w:t>23:59</w:t>
            </w:r>
          </w:p>
        </w:tc>
        <w:tc>
          <w:tcPr>
            <w:tcW w:w="1764" w:type="dxa"/>
          </w:tcPr>
          <w:p w14:paraId="2DF7FA37" w14:textId="62D92627" w:rsidR="00FF5D88" w:rsidRDefault="00FF5D88" w:rsidP="001E1C43">
            <w:pPr>
              <w:ind w:left="851" w:hanging="851"/>
              <w:jc w:val="both"/>
            </w:pPr>
            <w:r>
              <w:t>0</w:t>
            </w:r>
            <w:r w:rsidR="007940BF">
              <w:t>0</w:t>
            </w:r>
            <w:r>
              <w:t xml:space="preserve">:00 – </w:t>
            </w:r>
            <w:r w:rsidR="00AA5BC0">
              <w:t>23:59</w:t>
            </w:r>
          </w:p>
        </w:tc>
      </w:tr>
      <w:tr w:rsidR="00FF5D88" w14:paraId="27D7F3E3" w14:textId="213213EA" w:rsidTr="001E1C43">
        <w:tc>
          <w:tcPr>
            <w:tcW w:w="1506" w:type="dxa"/>
          </w:tcPr>
          <w:p w14:paraId="409F7BD6" w14:textId="77777777" w:rsidR="00FF5D88" w:rsidRDefault="00FF5D88" w:rsidP="001E1C43">
            <w:pPr>
              <w:ind w:left="851" w:hanging="851"/>
              <w:jc w:val="both"/>
            </w:pPr>
            <w:r>
              <w:t>Saturday</w:t>
            </w:r>
          </w:p>
        </w:tc>
        <w:tc>
          <w:tcPr>
            <w:tcW w:w="1828" w:type="dxa"/>
          </w:tcPr>
          <w:p w14:paraId="66E12657" w14:textId="3621A906" w:rsidR="00FF5D88" w:rsidRPr="008B29FE" w:rsidRDefault="00FF5D88" w:rsidP="001E1C43">
            <w:pPr>
              <w:ind w:left="851" w:hanging="851"/>
              <w:jc w:val="both"/>
            </w:pPr>
            <w:r>
              <w:t>0</w:t>
            </w:r>
            <w:r w:rsidR="007940BF">
              <w:t>0</w:t>
            </w:r>
            <w:r w:rsidRPr="008765AD">
              <w:t>:</w:t>
            </w:r>
            <w:r>
              <w:t>0</w:t>
            </w:r>
            <w:r w:rsidRPr="008765AD">
              <w:t xml:space="preserve">0 – </w:t>
            </w:r>
            <w:r w:rsidR="00AA5BC0">
              <w:t>23:59</w:t>
            </w:r>
          </w:p>
        </w:tc>
        <w:tc>
          <w:tcPr>
            <w:tcW w:w="1764" w:type="dxa"/>
          </w:tcPr>
          <w:p w14:paraId="6688C419" w14:textId="01729DFC" w:rsidR="00FF5D88" w:rsidRDefault="00FF5D88" w:rsidP="001E1C43">
            <w:pPr>
              <w:ind w:left="851" w:hanging="851"/>
              <w:jc w:val="both"/>
            </w:pPr>
            <w:r>
              <w:t>0</w:t>
            </w:r>
            <w:r w:rsidR="007940BF">
              <w:t>0</w:t>
            </w:r>
            <w:r>
              <w:t xml:space="preserve">:00 – </w:t>
            </w:r>
            <w:r w:rsidR="00AA5BC0">
              <w:t>23:59</w:t>
            </w:r>
          </w:p>
        </w:tc>
      </w:tr>
      <w:tr w:rsidR="00FF5D88" w14:paraId="7EC1E2D6" w14:textId="4BDA7853" w:rsidTr="001E1C43">
        <w:tc>
          <w:tcPr>
            <w:tcW w:w="1506" w:type="dxa"/>
          </w:tcPr>
          <w:p w14:paraId="22B40829" w14:textId="77777777" w:rsidR="00FF5D88" w:rsidRDefault="00FF5D88" w:rsidP="001E1C43">
            <w:pPr>
              <w:ind w:left="851" w:hanging="851"/>
              <w:jc w:val="both"/>
            </w:pPr>
            <w:r>
              <w:t>Sunday</w:t>
            </w:r>
          </w:p>
        </w:tc>
        <w:tc>
          <w:tcPr>
            <w:tcW w:w="1828" w:type="dxa"/>
          </w:tcPr>
          <w:p w14:paraId="5F0385A5" w14:textId="1EE30B0A" w:rsidR="00FF5D88" w:rsidRPr="008B29FE" w:rsidRDefault="00FF5D88" w:rsidP="001E1C43">
            <w:pPr>
              <w:ind w:left="851" w:hanging="851"/>
              <w:jc w:val="both"/>
            </w:pPr>
            <w:r>
              <w:t>0</w:t>
            </w:r>
            <w:r w:rsidR="007940BF">
              <w:t>0</w:t>
            </w:r>
            <w:r w:rsidRPr="008765AD">
              <w:t>:</w:t>
            </w:r>
            <w:r>
              <w:t>0</w:t>
            </w:r>
            <w:r w:rsidRPr="008765AD">
              <w:t xml:space="preserve">0 – </w:t>
            </w:r>
            <w:r w:rsidR="00AA5BC0">
              <w:t>23:59</w:t>
            </w:r>
          </w:p>
        </w:tc>
        <w:tc>
          <w:tcPr>
            <w:tcW w:w="1764" w:type="dxa"/>
          </w:tcPr>
          <w:p w14:paraId="252B0740" w14:textId="41EFA94D" w:rsidR="00FF5D88" w:rsidRDefault="00FF5D88" w:rsidP="001E1C43">
            <w:pPr>
              <w:ind w:left="851" w:hanging="851"/>
              <w:jc w:val="both"/>
            </w:pPr>
            <w:r>
              <w:t>0</w:t>
            </w:r>
            <w:r w:rsidR="007940BF">
              <w:t>0</w:t>
            </w:r>
            <w:r>
              <w:t xml:space="preserve">:00 – </w:t>
            </w:r>
            <w:r w:rsidR="00AA5BC0">
              <w:t>23:59</w:t>
            </w:r>
          </w:p>
        </w:tc>
      </w:tr>
    </w:tbl>
    <w:p w14:paraId="2CFFF8EB" w14:textId="72FD1726" w:rsidR="005419BF" w:rsidRDefault="005419BF" w:rsidP="001E1C43">
      <w:pPr>
        <w:ind w:left="851" w:hanging="851"/>
        <w:jc w:val="both"/>
      </w:pPr>
    </w:p>
    <w:p w14:paraId="720C9D71" w14:textId="77777777" w:rsidR="00197E63" w:rsidRDefault="00197E63" w:rsidP="001E1C43">
      <w:pPr>
        <w:ind w:left="851" w:hanging="851"/>
        <w:jc w:val="both"/>
      </w:pPr>
    </w:p>
    <w:p w14:paraId="63BF78B0" w14:textId="77777777" w:rsidR="00197E63" w:rsidRDefault="00197E63" w:rsidP="001E1C43">
      <w:pPr>
        <w:ind w:left="851" w:hanging="851"/>
        <w:jc w:val="both"/>
      </w:pPr>
    </w:p>
    <w:p w14:paraId="030C4B98" w14:textId="77777777" w:rsidR="00197E63" w:rsidRDefault="00197E63" w:rsidP="001E1C43">
      <w:pPr>
        <w:ind w:left="851" w:hanging="851"/>
        <w:jc w:val="both"/>
      </w:pPr>
    </w:p>
    <w:p w14:paraId="27D95717" w14:textId="77777777" w:rsidR="00197E63" w:rsidRDefault="00197E63" w:rsidP="001E1C43">
      <w:pPr>
        <w:ind w:left="851" w:hanging="851"/>
        <w:jc w:val="both"/>
      </w:pPr>
    </w:p>
    <w:p w14:paraId="0172F286" w14:textId="77777777" w:rsidR="00197E63" w:rsidRDefault="00197E63" w:rsidP="001E1C43">
      <w:pPr>
        <w:ind w:left="851" w:hanging="851"/>
        <w:jc w:val="both"/>
      </w:pPr>
    </w:p>
    <w:p w14:paraId="60BDE3E7" w14:textId="77777777" w:rsidR="00197E63" w:rsidRDefault="00197E63" w:rsidP="001E1C43">
      <w:pPr>
        <w:ind w:left="851" w:hanging="851"/>
        <w:jc w:val="both"/>
      </w:pPr>
    </w:p>
    <w:p w14:paraId="0BBBB34A" w14:textId="77777777" w:rsidR="00197E63" w:rsidRDefault="00197E63" w:rsidP="001E1C43">
      <w:pPr>
        <w:ind w:left="851" w:hanging="851"/>
        <w:jc w:val="both"/>
      </w:pPr>
    </w:p>
    <w:p w14:paraId="50E58C3B" w14:textId="77777777" w:rsidR="00197E63" w:rsidRDefault="00197E63" w:rsidP="001E1C43">
      <w:pPr>
        <w:ind w:left="851" w:hanging="851"/>
        <w:jc w:val="both"/>
      </w:pPr>
    </w:p>
    <w:p w14:paraId="1D482BE9" w14:textId="77777777" w:rsidR="00197E63" w:rsidRDefault="00197E63" w:rsidP="001E1C43">
      <w:pPr>
        <w:ind w:left="851" w:hanging="851"/>
        <w:jc w:val="both"/>
      </w:pPr>
    </w:p>
    <w:p w14:paraId="3276707F" w14:textId="77777777" w:rsidR="001E1C43" w:rsidRDefault="001E1C43" w:rsidP="001E1C43">
      <w:pPr>
        <w:ind w:left="851" w:hanging="851"/>
        <w:jc w:val="both"/>
      </w:pPr>
    </w:p>
    <w:p w14:paraId="4582E995" w14:textId="77777777" w:rsidR="00AA31BC" w:rsidRDefault="00AA31BC" w:rsidP="001E1C43">
      <w:pPr>
        <w:ind w:left="851" w:hanging="131"/>
        <w:jc w:val="both"/>
      </w:pPr>
    </w:p>
    <w:p w14:paraId="6A81FA2B" w14:textId="468BADBC" w:rsidR="00197E63" w:rsidRDefault="001E1C43" w:rsidP="001E1C43">
      <w:pPr>
        <w:ind w:left="851" w:hanging="131"/>
        <w:jc w:val="both"/>
      </w:pPr>
      <w:r>
        <w:t>*</w:t>
      </w:r>
      <w:r w:rsidR="002A3D29">
        <w:t>The applicant has applied to trade</w:t>
      </w:r>
      <w:r w:rsidR="00AA31BC">
        <w:t xml:space="preserve"> and sell alcohol for consumption off the premises</w:t>
      </w:r>
      <w:r w:rsidR="002A3D29">
        <w:t xml:space="preserve"> for 24 hours a day 7 days a week</w:t>
      </w:r>
      <w:r w:rsidR="00ED2374">
        <w:t>.  The application includes proposed conditions.</w:t>
      </w:r>
    </w:p>
    <w:p w14:paraId="5D40E543" w14:textId="77777777" w:rsidR="00197E63" w:rsidRDefault="00197E63" w:rsidP="001E1C43">
      <w:pPr>
        <w:ind w:left="851" w:hanging="851"/>
        <w:jc w:val="both"/>
      </w:pPr>
    </w:p>
    <w:p w14:paraId="05ECBFAE" w14:textId="77777777" w:rsidR="00197E63" w:rsidRDefault="00197E63" w:rsidP="001E1C43">
      <w:pPr>
        <w:ind w:left="851" w:hanging="851"/>
        <w:jc w:val="both"/>
      </w:pPr>
    </w:p>
    <w:p w14:paraId="6EA6088D" w14:textId="10CEEB6E" w:rsidR="008273E6" w:rsidRDefault="005419BF" w:rsidP="0058530E">
      <w:pPr>
        <w:pStyle w:val="ListParagraph"/>
        <w:numPr>
          <w:ilvl w:val="1"/>
          <w:numId w:val="28"/>
        </w:numPr>
        <w:ind w:left="709" w:hanging="709"/>
        <w:jc w:val="both"/>
      </w:pPr>
      <w:r w:rsidRPr="00197E63">
        <w:t>The application proposes</w:t>
      </w:r>
      <w:r w:rsidR="00330558">
        <w:t xml:space="preserve"> </w:t>
      </w:r>
      <w:r w:rsidR="00330558" w:rsidRPr="00330558">
        <w:t xml:space="preserve">Mr </w:t>
      </w:r>
      <w:proofErr w:type="spellStart"/>
      <w:r w:rsidR="00330558" w:rsidRPr="00330558">
        <w:t>Claudiu</w:t>
      </w:r>
      <w:proofErr w:type="spellEnd"/>
      <w:r w:rsidR="00330558" w:rsidRPr="00330558">
        <w:t xml:space="preserve"> </w:t>
      </w:r>
      <w:proofErr w:type="spellStart"/>
      <w:r w:rsidR="00330558" w:rsidRPr="00330558">
        <w:t>Baroti</w:t>
      </w:r>
      <w:proofErr w:type="spellEnd"/>
      <w:r w:rsidR="00A26CB3" w:rsidRPr="00A26CB3">
        <w:t>,</w:t>
      </w:r>
      <w:r w:rsidR="00A26CB3">
        <w:t xml:space="preserve"> </w:t>
      </w:r>
      <w:r w:rsidRPr="00197E63">
        <w:t xml:space="preserve">to be the </w:t>
      </w:r>
      <w:r w:rsidR="008C5990" w:rsidRPr="00197E63">
        <w:t>D</w:t>
      </w:r>
      <w:r w:rsidRPr="00197E63">
        <w:t>esignated Premises Supervisor.</w:t>
      </w:r>
    </w:p>
    <w:p w14:paraId="759622D0" w14:textId="77777777" w:rsidR="00197E63" w:rsidRPr="00197E63" w:rsidRDefault="00197E63" w:rsidP="001E1C43">
      <w:pPr>
        <w:pStyle w:val="ListParagraph"/>
        <w:ind w:left="851"/>
        <w:jc w:val="both"/>
      </w:pPr>
    </w:p>
    <w:p w14:paraId="24B3F208" w14:textId="77777777" w:rsidR="00D62E0A" w:rsidRPr="00ED7249" w:rsidRDefault="00D62E0A" w:rsidP="001E1C43">
      <w:pPr>
        <w:pStyle w:val="BodyTextIndent"/>
        <w:spacing w:after="0"/>
        <w:ind w:left="0"/>
        <w:jc w:val="both"/>
      </w:pPr>
      <w:r w:rsidRPr="00AF395F">
        <w:rPr>
          <w:u w:val="single"/>
        </w:rPr>
        <w:t>Description of premises</w:t>
      </w:r>
    </w:p>
    <w:p w14:paraId="75D9197E" w14:textId="77777777" w:rsidR="00D62E0A" w:rsidRPr="00D62E0A" w:rsidRDefault="00D62E0A" w:rsidP="001E1C43">
      <w:pPr>
        <w:jc w:val="both"/>
      </w:pPr>
    </w:p>
    <w:p w14:paraId="48981140" w14:textId="47BC6117" w:rsidR="001E1C43" w:rsidRDefault="00787F5F" w:rsidP="009D7C9A">
      <w:pPr>
        <w:pStyle w:val="ListParagraph"/>
        <w:numPr>
          <w:ilvl w:val="1"/>
          <w:numId w:val="28"/>
        </w:numPr>
        <w:autoSpaceDE w:val="0"/>
        <w:autoSpaceDN w:val="0"/>
        <w:adjustRightInd w:val="0"/>
        <w:ind w:left="709" w:hanging="709"/>
        <w:jc w:val="both"/>
      </w:pPr>
      <w:r>
        <w:t xml:space="preserve">Currently the Premises </w:t>
      </w:r>
      <w:r w:rsidR="00ED2374">
        <w:t xml:space="preserve">is </w:t>
      </w:r>
      <w:r>
        <w:t xml:space="preserve">under refurbishment and closed to the </w:t>
      </w:r>
      <w:r w:rsidR="001E1C43">
        <w:t>public. In</w:t>
      </w:r>
      <w:r w:rsidR="00FF5D88">
        <w:t xml:space="preserve"> the relevant section of the application</w:t>
      </w:r>
      <w:r w:rsidR="006F2F26">
        <w:t>,</w:t>
      </w:r>
      <w:r w:rsidR="00FF5D88">
        <w:t xml:space="preserve"> The</w:t>
      </w:r>
      <w:r w:rsidR="00F80769">
        <w:t xml:space="preserve"> </w:t>
      </w:r>
      <w:r w:rsidR="00ED2374">
        <w:t>A</w:t>
      </w:r>
      <w:r w:rsidR="00F80769">
        <w:t xml:space="preserve">pplicant describes the </w:t>
      </w:r>
      <w:r w:rsidR="00ED2374">
        <w:t>P</w:t>
      </w:r>
      <w:r w:rsidR="00F80769">
        <w:t>remises as</w:t>
      </w:r>
      <w:r w:rsidR="00D62E0A">
        <w:t xml:space="preserve"> </w:t>
      </w:r>
      <w:r w:rsidR="001E1C43">
        <w:t>the following</w:t>
      </w:r>
    </w:p>
    <w:p w14:paraId="12D766DB" w14:textId="77777777" w:rsidR="001E1C43" w:rsidRDefault="001E1C43" w:rsidP="001E1C43">
      <w:pPr>
        <w:pStyle w:val="ListParagraph"/>
        <w:autoSpaceDE w:val="0"/>
        <w:autoSpaceDN w:val="0"/>
        <w:adjustRightInd w:val="0"/>
        <w:ind w:left="502"/>
        <w:jc w:val="both"/>
      </w:pPr>
    </w:p>
    <w:p w14:paraId="75FABF56" w14:textId="56DDB78C" w:rsidR="00D62E0A" w:rsidRDefault="00787F5F" w:rsidP="001E1C43">
      <w:pPr>
        <w:pStyle w:val="ListParagraph"/>
        <w:autoSpaceDE w:val="0"/>
        <w:autoSpaceDN w:val="0"/>
        <w:adjustRightInd w:val="0"/>
        <w:ind w:left="1134" w:right="371"/>
        <w:jc w:val="both"/>
        <w:rPr>
          <w:i/>
          <w:iCs/>
        </w:rPr>
      </w:pPr>
      <w:r>
        <w:t>“</w:t>
      </w:r>
      <w:r w:rsidR="00330558" w:rsidRPr="001E1C43">
        <w:rPr>
          <w:i/>
          <w:iCs/>
        </w:rPr>
        <w:t xml:space="preserve">The premises will be used for the retail of Food and </w:t>
      </w:r>
      <w:proofErr w:type="gramStart"/>
      <w:r w:rsidR="00330558" w:rsidRPr="001E1C43">
        <w:rPr>
          <w:i/>
          <w:iCs/>
        </w:rPr>
        <w:t xml:space="preserve">Drinks, </w:t>
      </w:r>
      <w:r w:rsidR="00AA5BC0" w:rsidRPr="001E1C43">
        <w:rPr>
          <w:i/>
          <w:iCs/>
        </w:rPr>
        <w:t xml:space="preserve"> </w:t>
      </w:r>
      <w:r w:rsidR="00330558" w:rsidRPr="001E1C43">
        <w:rPr>
          <w:i/>
          <w:iCs/>
        </w:rPr>
        <w:t>hence</w:t>
      </w:r>
      <w:proofErr w:type="gramEnd"/>
      <w:r w:rsidR="00330558" w:rsidRPr="001E1C43">
        <w:rPr>
          <w:i/>
          <w:iCs/>
        </w:rPr>
        <w:t xml:space="preserve"> an application is being made as we are planning to sell drinks for personal/at home consumption. We will not be offering a place for the consumption of these supplies.</w:t>
      </w:r>
      <w:r w:rsidRPr="001E1C43">
        <w:rPr>
          <w:i/>
          <w:iCs/>
        </w:rPr>
        <w:t>”</w:t>
      </w:r>
    </w:p>
    <w:p w14:paraId="511B9009" w14:textId="77777777" w:rsidR="001E1C43" w:rsidRPr="00AA5BC0" w:rsidRDefault="001E1C43" w:rsidP="001E1C43">
      <w:pPr>
        <w:pStyle w:val="ListParagraph"/>
        <w:autoSpaceDE w:val="0"/>
        <w:autoSpaceDN w:val="0"/>
        <w:adjustRightInd w:val="0"/>
        <w:ind w:left="502"/>
        <w:jc w:val="both"/>
      </w:pPr>
    </w:p>
    <w:p w14:paraId="0B425969" w14:textId="1E910E93" w:rsidR="00FF5D88" w:rsidRPr="00FF5D88" w:rsidRDefault="00ED2374" w:rsidP="0058530E">
      <w:pPr>
        <w:autoSpaceDE w:val="0"/>
        <w:autoSpaceDN w:val="0"/>
        <w:adjustRightInd w:val="0"/>
        <w:ind w:left="709"/>
        <w:jc w:val="both"/>
        <w:rPr>
          <w:rFonts w:cs="Arial"/>
          <w:szCs w:val="24"/>
          <w:lang w:eastAsia="en-GB"/>
        </w:rPr>
      </w:pPr>
      <w:r>
        <w:rPr>
          <w:rFonts w:cs="Arial"/>
          <w:szCs w:val="24"/>
          <w:lang w:eastAsia="en-GB"/>
        </w:rPr>
        <w:lastRenderedPageBreak/>
        <w:t>The Licensing Authority understands</w:t>
      </w:r>
      <w:r w:rsidR="00FF5D88">
        <w:rPr>
          <w:rFonts w:cs="Arial"/>
          <w:szCs w:val="24"/>
          <w:lang w:eastAsia="en-GB"/>
        </w:rPr>
        <w:t xml:space="preserve"> the </w:t>
      </w:r>
      <w:r>
        <w:rPr>
          <w:rFonts w:cs="Arial"/>
          <w:szCs w:val="24"/>
          <w:lang w:eastAsia="en-GB"/>
        </w:rPr>
        <w:t>P</w:t>
      </w:r>
      <w:r w:rsidR="00FF5D88">
        <w:rPr>
          <w:rFonts w:cs="Arial"/>
          <w:szCs w:val="24"/>
          <w:lang w:eastAsia="en-GB"/>
        </w:rPr>
        <w:t xml:space="preserve">remises </w:t>
      </w:r>
      <w:r w:rsidR="00787F5F">
        <w:rPr>
          <w:rFonts w:cs="Arial"/>
          <w:szCs w:val="24"/>
          <w:lang w:eastAsia="en-GB"/>
        </w:rPr>
        <w:t>will be</w:t>
      </w:r>
      <w:r w:rsidR="00FF5D88">
        <w:rPr>
          <w:rFonts w:cs="Arial"/>
          <w:szCs w:val="24"/>
          <w:lang w:eastAsia="en-GB"/>
        </w:rPr>
        <w:t xml:space="preserve"> a grocery store </w:t>
      </w:r>
      <w:r w:rsidR="0030321B">
        <w:rPr>
          <w:rFonts w:cs="Arial"/>
          <w:szCs w:val="24"/>
          <w:lang w:eastAsia="en-GB"/>
        </w:rPr>
        <w:t xml:space="preserve">that </w:t>
      </w:r>
      <w:r w:rsidR="00787F5F">
        <w:rPr>
          <w:rFonts w:cs="Arial"/>
          <w:szCs w:val="24"/>
          <w:lang w:eastAsia="en-GB"/>
        </w:rPr>
        <w:t xml:space="preserve">includes the sale of </w:t>
      </w:r>
      <w:r w:rsidR="0030321B">
        <w:rPr>
          <w:rFonts w:cs="Arial"/>
          <w:szCs w:val="24"/>
          <w:lang w:eastAsia="en-GB"/>
        </w:rPr>
        <w:t>fresh fruit</w:t>
      </w:r>
      <w:r w:rsidR="00787F5F">
        <w:rPr>
          <w:rFonts w:cs="Arial"/>
          <w:szCs w:val="24"/>
          <w:lang w:eastAsia="en-GB"/>
        </w:rPr>
        <w:t xml:space="preserve">, </w:t>
      </w:r>
      <w:r w:rsidR="0030321B">
        <w:rPr>
          <w:rFonts w:cs="Arial"/>
          <w:szCs w:val="24"/>
          <w:lang w:eastAsia="en-GB"/>
        </w:rPr>
        <w:t>vegetables</w:t>
      </w:r>
      <w:r w:rsidR="00886159">
        <w:rPr>
          <w:rFonts w:cs="Arial"/>
          <w:szCs w:val="24"/>
          <w:lang w:eastAsia="en-GB"/>
        </w:rPr>
        <w:t xml:space="preserve">; </w:t>
      </w:r>
      <w:r w:rsidR="00787F5F">
        <w:rPr>
          <w:rFonts w:cs="Arial"/>
          <w:szCs w:val="24"/>
          <w:lang w:eastAsia="en-GB"/>
        </w:rPr>
        <w:t>and alcohol</w:t>
      </w:r>
      <w:r w:rsidR="00886159">
        <w:rPr>
          <w:rFonts w:cs="Arial"/>
          <w:szCs w:val="24"/>
          <w:lang w:eastAsia="en-GB"/>
        </w:rPr>
        <w:t xml:space="preserve"> should a premises licence be granted.</w:t>
      </w:r>
    </w:p>
    <w:p w14:paraId="23E94BB6" w14:textId="77777777" w:rsidR="001C2993" w:rsidRPr="001C2993" w:rsidRDefault="001C2993" w:rsidP="001E1C43">
      <w:pPr>
        <w:autoSpaceDE w:val="0"/>
        <w:autoSpaceDN w:val="0"/>
        <w:adjustRightInd w:val="0"/>
        <w:ind w:left="851" w:hanging="851"/>
        <w:jc w:val="both"/>
        <w:rPr>
          <w:rFonts w:ascii="MyriadPro-Regular" w:hAnsi="MyriadPro-Regular" w:cs="MyriadPro-Regular"/>
          <w:sz w:val="22"/>
          <w:szCs w:val="22"/>
          <w:lang w:eastAsia="en-GB"/>
        </w:rPr>
      </w:pPr>
    </w:p>
    <w:p w14:paraId="6D79B447" w14:textId="0D1AADEA" w:rsidR="005C58BD" w:rsidRPr="00197E63" w:rsidRDefault="005C58BD" w:rsidP="0058530E">
      <w:pPr>
        <w:pStyle w:val="ListParagraph"/>
        <w:numPr>
          <w:ilvl w:val="1"/>
          <w:numId w:val="30"/>
        </w:numPr>
        <w:ind w:left="709" w:hanging="709"/>
        <w:jc w:val="both"/>
      </w:pPr>
      <w:r w:rsidRPr="00197E63">
        <w:t xml:space="preserve">A location map for the </w:t>
      </w:r>
      <w:r w:rsidR="00434C60">
        <w:t>P</w:t>
      </w:r>
      <w:r w:rsidRPr="00197E63">
        <w:t xml:space="preserve">remises is </w:t>
      </w:r>
      <w:r w:rsidR="00434C60">
        <w:t>shown</w:t>
      </w:r>
      <w:r w:rsidR="00434C60" w:rsidRPr="00197E63">
        <w:t xml:space="preserve"> </w:t>
      </w:r>
      <w:r w:rsidRPr="00197E63">
        <w:t xml:space="preserve">in Appendix </w:t>
      </w:r>
      <w:r w:rsidR="00AB70E0">
        <w:t>2</w:t>
      </w:r>
      <w:r w:rsidR="00146EDE">
        <w:t>.</w:t>
      </w:r>
    </w:p>
    <w:p w14:paraId="1D9E40A7" w14:textId="77777777" w:rsidR="00D62E0A" w:rsidRPr="00D62E0A" w:rsidRDefault="00D62E0A" w:rsidP="001E1C43">
      <w:pPr>
        <w:pStyle w:val="ListParagraph"/>
        <w:jc w:val="both"/>
        <w:rPr>
          <w:szCs w:val="24"/>
        </w:rPr>
      </w:pPr>
    </w:p>
    <w:p w14:paraId="066A982D" w14:textId="77777777" w:rsidR="001E1C43" w:rsidRDefault="001E1C43" w:rsidP="001E1C43">
      <w:pPr>
        <w:pStyle w:val="ListParagraph"/>
        <w:jc w:val="both"/>
      </w:pPr>
    </w:p>
    <w:p w14:paraId="7664E6E9" w14:textId="77777777" w:rsidR="001E1C43" w:rsidRDefault="001E1C43" w:rsidP="001E1C43">
      <w:pPr>
        <w:pStyle w:val="ListParagraph"/>
        <w:jc w:val="both"/>
      </w:pPr>
    </w:p>
    <w:p w14:paraId="25DD1A72" w14:textId="77777777" w:rsidR="002A3D29" w:rsidRDefault="00D62E0A" w:rsidP="009D7C9A">
      <w:pPr>
        <w:pStyle w:val="BodyTextIndent"/>
        <w:ind w:left="0"/>
        <w:jc w:val="both"/>
        <w:rPr>
          <w:u w:val="single"/>
        </w:rPr>
      </w:pPr>
      <w:r w:rsidRPr="00197E63">
        <w:rPr>
          <w:u w:val="single"/>
        </w:rPr>
        <w:t>Representations</w:t>
      </w:r>
    </w:p>
    <w:p w14:paraId="4E50B06F" w14:textId="77777777" w:rsidR="009D7C9A" w:rsidRDefault="009D7C9A" w:rsidP="0058530E">
      <w:pPr>
        <w:pStyle w:val="BodyTextIndent"/>
        <w:ind w:left="0"/>
        <w:jc w:val="both"/>
        <w:rPr>
          <w:u w:val="single"/>
        </w:rPr>
      </w:pPr>
    </w:p>
    <w:p w14:paraId="4F2623D0" w14:textId="65453345" w:rsidR="002A3D29" w:rsidRDefault="002A3D29" w:rsidP="001E1C43">
      <w:pPr>
        <w:pStyle w:val="ListParagraph"/>
        <w:numPr>
          <w:ilvl w:val="1"/>
          <w:numId w:val="30"/>
        </w:numPr>
        <w:ind w:left="851" w:hanging="851"/>
        <w:jc w:val="both"/>
      </w:pPr>
      <w:r>
        <w:t xml:space="preserve">During the consultation period the </w:t>
      </w:r>
      <w:r w:rsidR="00434C60">
        <w:t xml:space="preserve">Licensing Authority received </w:t>
      </w:r>
      <w:r w:rsidR="003206FF">
        <w:t>42 representations, with 41 of these objecting to the application and</w:t>
      </w:r>
      <w:r w:rsidR="00AF4DD5">
        <w:t xml:space="preserve"> </w:t>
      </w:r>
      <w:r w:rsidR="003206FF">
        <w:t>1 in support.</w:t>
      </w:r>
    </w:p>
    <w:p w14:paraId="0538CF4A" w14:textId="77777777" w:rsidR="002A3D29" w:rsidRDefault="002A3D29" w:rsidP="001E1C43">
      <w:pPr>
        <w:jc w:val="both"/>
      </w:pPr>
    </w:p>
    <w:p w14:paraId="75A3446C" w14:textId="3519B9C7" w:rsidR="00C62367" w:rsidRDefault="003206FF" w:rsidP="001E1C43">
      <w:pPr>
        <w:pStyle w:val="ListParagraph"/>
        <w:numPr>
          <w:ilvl w:val="1"/>
          <w:numId w:val="30"/>
        </w:numPr>
        <w:ind w:left="709" w:hanging="709"/>
        <w:jc w:val="both"/>
      </w:pPr>
      <w:r>
        <w:t xml:space="preserve">The objections </w:t>
      </w:r>
      <w:r w:rsidR="0056590B">
        <w:t>ha</w:t>
      </w:r>
      <w:r w:rsidR="00C62367">
        <w:t>ve</w:t>
      </w:r>
      <w:r w:rsidR="0056590B">
        <w:t xml:space="preserve"> been received</w:t>
      </w:r>
      <w:r w:rsidR="00C62367">
        <w:t xml:space="preserve"> from: </w:t>
      </w:r>
    </w:p>
    <w:p w14:paraId="32ADA53C" w14:textId="096222A2" w:rsidR="00C62367" w:rsidRDefault="00C45D85" w:rsidP="00661755">
      <w:pPr>
        <w:pStyle w:val="ListParagraph"/>
        <w:numPr>
          <w:ilvl w:val="1"/>
          <w:numId w:val="29"/>
        </w:numPr>
        <w:ind w:left="1418"/>
        <w:jc w:val="both"/>
      </w:pPr>
      <w:r>
        <w:t>The</w:t>
      </w:r>
      <w:r w:rsidR="001E1C43">
        <w:t xml:space="preserve"> </w:t>
      </w:r>
      <w:r w:rsidR="00886159">
        <w:t>London Assembly</w:t>
      </w:r>
      <w:r w:rsidR="0056590B">
        <w:t xml:space="preserve"> </w:t>
      </w:r>
      <w:r>
        <w:t>M</w:t>
      </w:r>
      <w:r w:rsidR="001E1C43">
        <w:t xml:space="preserve">ember </w:t>
      </w:r>
      <w:r>
        <w:t>for Brent and Harrow</w:t>
      </w:r>
    </w:p>
    <w:p w14:paraId="577D71CE" w14:textId="25C7B54C" w:rsidR="00C62367" w:rsidRDefault="00AF4DD5" w:rsidP="00661755">
      <w:pPr>
        <w:pStyle w:val="ListParagraph"/>
        <w:numPr>
          <w:ilvl w:val="1"/>
          <w:numId w:val="29"/>
        </w:numPr>
        <w:ind w:left="1418"/>
        <w:jc w:val="both"/>
      </w:pPr>
      <w:r>
        <w:t>4</w:t>
      </w:r>
      <w:r w:rsidR="00C45D85">
        <w:t xml:space="preserve"> </w:t>
      </w:r>
      <w:r w:rsidR="0056590B">
        <w:t>C</w:t>
      </w:r>
      <w:r w:rsidR="001E1C43">
        <w:t>ouncillor</w:t>
      </w:r>
      <w:r w:rsidR="00C45D85">
        <w:t xml:space="preserve">s, including the </w:t>
      </w:r>
      <w:r>
        <w:t>3</w:t>
      </w:r>
      <w:r w:rsidR="00C45D85">
        <w:t xml:space="preserve"> </w:t>
      </w:r>
      <w:r w:rsidR="0079538D">
        <w:t>Ward Councillors for Kenton East</w:t>
      </w:r>
      <w:r w:rsidR="00886159">
        <w:t xml:space="preserve"> </w:t>
      </w:r>
    </w:p>
    <w:p w14:paraId="45370213" w14:textId="09C2E3F8" w:rsidR="003F4751" w:rsidRDefault="003F4751" w:rsidP="00661755">
      <w:pPr>
        <w:pStyle w:val="ListParagraph"/>
        <w:numPr>
          <w:ilvl w:val="1"/>
          <w:numId w:val="29"/>
        </w:numPr>
        <w:ind w:left="1418"/>
        <w:jc w:val="both"/>
      </w:pPr>
      <w:r>
        <w:t xml:space="preserve">36 </w:t>
      </w:r>
      <w:r w:rsidR="0079538D">
        <w:t>r</w:t>
      </w:r>
      <w:r>
        <w:t>esidents</w:t>
      </w:r>
    </w:p>
    <w:p w14:paraId="3786201A" w14:textId="77777777" w:rsidR="003F4751" w:rsidRDefault="003F4751" w:rsidP="001E1C43">
      <w:pPr>
        <w:pStyle w:val="ListParagraph"/>
        <w:jc w:val="both"/>
      </w:pPr>
    </w:p>
    <w:p w14:paraId="0808BE23" w14:textId="7590D97F" w:rsidR="0079538D" w:rsidRDefault="0079538D" w:rsidP="001E1C43">
      <w:pPr>
        <w:pStyle w:val="ListParagraph"/>
        <w:jc w:val="both"/>
      </w:pPr>
      <w:r>
        <w:t>The representation in support was received from a resident.</w:t>
      </w:r>
    </w:p>
    <w:p w14:paraId="38F8475A" w14:textId="77777777" w:rsidR="0079538D" w:rsidRDefault="0079538D" w:rsidP="001E1C43">
      <w:pPr>
        <w:pStyle w:val="ListParagraph"/>
        <w:jc w:val="both"/>
      </w:pPr>
    </w:p>
    <w:p w14:paraId="113B9ACA" w14:textId="21049797" w:rsidR="00704BF3" w:rsidRDefault="00AB7D0B" w:rsidP="001E1C43">
      <w:pPr>
        <w:pStyle w:val="ListParagraph"/>
        <w:numPr>
          <w:ilvl w:val="1"/>
          <w:numId w:val="30"/>
        </w:numPr>
        <w:ind w:left="709" w:hanging="709"/>
        <w:jc w:val="both"/>
      </w:pPr>
      <w:r>
        <w:t>The representations objecting to the application reflect concerns with the upholding of all four of the licencing objectives, namely t</w:t>
      </w:r>
      <w:r w:rsidRPr="006779BC">
        <w:t>he prevention of crime and disorder</w:t>
      </w:r>
      <w:r>
        <w:t>, p</w:t>
      </w:r>
      <w:r w:rsidRPr="006779BC">
        <w:t>ublic safety</w:t>
      </w:r>
      <w:r>
        <w:t>, t</w:t>
      </w:r>
      <w:r w:rsidRPr="006779BC">
        <w:t>he prevention of public nuisanc</w:t>
      </w:r>
      <w:r>
        <w:t xml:space="preserve">e and the protection of children from harm.  All the representations received are shown in Appendix 3 of this report.  </w:t>
      </w:r>
      <w:r w:rsidR="003F4751">
        <w:t>T</w:t>
      </w:r>
      <w:r w:rsidR="00803E30">
        <w:t>h</w:t>
      </w:r>
      <w:r w:rsidR="003F4751">
        <w:t xml:space="preserve">ese representations </w:t>
      </w:r>
      <w:r w:rsidR="00704BF3">
        <w:t xml:space="preserve">remain outstanding </w:t>
      </w:r>
      <w:r w:rsidR="003F4751">
        <w:t>t</w:t>
      </w:r>
      <w:r w:rsidR="001C2993">
        <w:t>h</w:t>
      </w:r>
      <w:r w:rsidR="00AA5BC0">
        <w:t>ese</w:t>
      </w:r>
      <w:r w:rsidR="00C405D9">
        <w:t xml:space="preserve"> can be found in Appendix </w:t>
      </w:r>
      <w:r>
        <w:t>3</w:t>
      </w:r>
      <w:r w:rsidR="00146EDE">
        <w:t>.</w:t>
      </w:r>
      <w:r w:rsidR="00704BF3">
        <w:t xml:space="preserve"> </w:t>
      </w:r>
      <w:r w:rsidR="00AD55E4">
        <w:t xml:space="preserve">   </w:t>
      </w:r>
    </w:p>
    <w:p w14:paraId="113B1B7A" w14:textId="77777777" w:rsidR="00C405D9" w:rsidRPr="00C405D9" w:rsidRDefault="00C405D9" w:rsidP="001E1C43">
      <w:pPr>
        <w:jc w:val="both"/>
      </w:pPr>
    </w:p>
    <w:p w14:paraId="13BD820F" w14:textId="2C9C05B0" w:rsidR="00704BF3" w:rsidRDefault="009876CB" w:rsidP="001E1C43">
      <w:pPr>
        <w:pStyle w:val="ListParagraph"/>
        <w:numPr>
          <w:ilvl w:val="1"/>
          <w:numId w:val="30"/>
        </w:numPr>
        <w:ind w:left="709" w:hanging="709"/>
        <w:jc w:val="both"/>
      </w:pPr>
      <w:r>
        <w:t xml:space="preserve">The </w:t>
      </w:r>
      <w:r w:rsidR="00484484">
        <w:t>Police have not submitted a formal representation but did agree conditions with the Applicant, which are shown in Appendix 4 to this report</w:t>
      </w:r>
      <w:r w:rsidR="001C2993">
        <w:t>.</w:t>
      </w:r>
    </w:p>
    <w:p w14:paraId="4BB37752" w14:textId="3EB72970" w:rsidR="00197E63" w:rsidRDefault="0075322E" w:rsidP="001E1C43">
      <w:pPr>
        <w:jc w:val="both"/>
      </w:pPr>
      <w:r>
        <w:t xml:space="preserve"> </w:t>
      </w:r>
    </w:p>
    <w:p w14:paraId="2F2B4DE2" w14:textId="2ACCB8A8" w:rsidR="00782129" w:rsidRDefault="00AF4DD5" w:rsidP="001E1C43">
      <w:pPr>
        <w:pStyle w:val="ListParagraph"/>
        <w:numPr>
          <w:ilvl w:val="1"/>
          <w:numId w:val="30"/>
        </w:numPr>
        <w:ind w:left="709" w:hanging="709"/>
        <w:jc w:val="both"/>
      </w:pPr>
      <w:r>
        <w:t xml:space="preserve">The Licensing Authority has advised of the possible ambiguity of these conditions and advised of amendments to these conditions, to further underpin the licensing objectives.  These amendments have been agreed by the Applicant and the Police have also been informed of the amendments to the agreed conditions and they have not commented. The amendments to the conditions agreed between the Applicant and the Licensing Authority, are also shown in Appendix 4 of this </w:t>
      </w:r>
      <w:r w:rsidR="00661755">
        <w:t>report</w:t>
      </w:r>
      <w:r w:rsidR="009D7C9A">
        <w:t>.</w:t>
      </w:r>
    </w:p>
    <w:p w14:paraId="2B57A94D" w14:textId="77777777" w:rsidR="00782129" w:rsidRDefault="00782129" w:rsidP="00661755">
      <w:pPr>
        <w:pStyle w:val="ListParagraph"/>
      </w:pPr>
    </w:p>
    <w:p w14:paraId="528CF5D5" w14:textId="5B95373A" w:rsidR="00782129" w:rsidRDefault="00414D96" w:rsidP="00782129">
      <w:pPr>
        <w:pStyle w:val="ListParagraph"/>
        <w:numPr>
          <w:ilvl w:val="1"/>
          <w:numId w:val="30"/>
        </w:numPr>
        <w:ind w:left="709" w:hanging="709"/>
        <w:jc w:val="both"/>
      </w:pPr>
      <w:r>
        <w:t>The</w:t>
      </w:r>
      <w:r w:rsidR="00782129">
        <w:t xml:space="preserve"> Agent representing the </w:t>
      </w:r>
      <w:r>
        <w:t>A</w:t>
      </w:r>
      <w:r w:rsidR="00782129">
        <w:t>pplicant</w:t>
      </w:r>
      <w:r>
        <w:t xml:space="preserve"> has also sent an email</w:t>
      </w:r>
      <w:r w:rsidR="00782129">
        <w:t>,</w:t>
      </w:r>
      <w:r>
        <w:t xml:space="preserve"> which</w:t>
      </w:r>
      <w:r w:rsidR="00782129">
        <w:t xml:space="preserve"> includ</w:t>
      </w:r>
      <w:r>
        <w:t>es</w:t>
      </w:r>
      <w:r w:rsidR="00782129">
        <w:t xml:space="preserve"> crime statistics of the area</w:t>
      </w:r>
      <w:r>
        <w:t xml:space="preserve"> and that</w:t>
      </w:r>
      <w:r w:rsidR="00782129">
        <w:t xml:space="preserve"> can be found in A</w:t>
      </w:r>
      <w:r>
        <w:t xml:space="preserve">ppendix </w:t>
      </w:r>
      <w:r w:rsidR="00782129">
        <w:t>5</w:t>
      </w:r>
      <w:r>
        <w:t xml:space="preserve"> to this report.</w:t>
      </w:r>
    </w:p>
    <w:p w14:paraId="66CAF0DB" w14:textId="77777777" w:rsidR="00C405D9" w:rsidRDefault="00C405D9" w:rsidP="001E1C43">
      <w:pPr>
        <w:pStyle w:val="ListParagraph"/>
        <w:ind w:left="567" w:hanging="567"/>
        <w:jc w:val="both"/>
      </w:pPr>
    </w:p>
    <w:p w14:paraId="46E0AD04" w14:textId="3EA10F67" w:rsidR="005C58BD" w:rsidRDefault="005C58BD" w:rsidP="001E1C43">
      <w:pPr>
        <w:pStyle w:val="ListParagraph"/>
        <w:numPr>
          <w:ilvl w:val="1"/>
          <w:numId w:val="30"/>
        </w:numPr>
        <w:ind w:left="709" w:hanging="709"/>
        <w:jc w:val="both"/>
      </w:pPr>
      <w:r>
        <w:t xml:space="preserve">Where a relevant representation is submitted under Section 35(3) of the Act the </w:t>
      </w:r>
      <w:r w:rsidR="00DD1CA7">
        <w:t>A</w:t>
      </w:r>
      <w:r>
        <w:t xml:space="preserve">uthority must hold a hearing to consider such representations, unless the authority, the applicant and each person who has made such representations agree that a hearing is unnecessary. </w:t>
      </w:r>
    </w:p>
    <w:p w14:paraId="09A60E78" w14:textId="77777777" w:rsidR="005C58BD" w:rsidRDefault="005C58BD" w:rsidP="001E1C43">
      <w:pPr>
        <w:pStyle w:val="ListParagraph"/>
        <w:ind w:left="567"/>
        <w:jc w:val="both"/>
      </w:pPr>
    </w:p>
    <w:p w14:paraId="53DE92C7" w14:textId="30349904" w:rsidR="005C58BD" w:rsidRDefault="005C58BD" w:rsidP="001E1C43">
      <w:pPr>
        <w:pStyle w:val="ListParagraph"/>
        <w:numPr>
          <w:ilvl w:val="1"/>
          <w:numId w:val="30"/>
        </w:numPr>
        <w:ind w:left="709" w:hanging="709"/>
        <w:jc w:val="both"/>
      </w:pPr>
      <w:r>
        <w:t xml:space="preserve">Relevant representations mean those which are about the likely effect of the grant of the application on the promotion of the licensing objectives, and have been made in time, not withdrawn, and in the case of </w:t>
      </w:r>
      <w:r>
        <w:lastRenderedPageBreak/>
        <w:t xml:space="preserve">representations made by a person (other than a responsible authority), are not considered by the </w:t>
      </w:r>
      <w:r w:rsidR="0098043B">
        <w:t>L</w:t>
      </w:r>
      <w:r>
        <w:t xml:space="preserve">icensing </w:t>
      </w:r>
      <w:r w:rsidR="0098043B">
        <w:t>A</w:t>
      </w:r>
      <w:r>
        <w:t xml:space="preserve">uthority to be frivolous or vexatious. </w:t>
      </w:r>
    </w:p>
    <w:p w14:paraId="6CD43C87" w14:textId="77777777" w:rsidR="000B3E7B" w:rsidRDefault="000B3E7B" w:rsidP="001E1C43">
      <w:pPr>
        <w:pStyle w:val="ListParagraph"/>
        <w:jc w:val="both"/>
      </w:pPr>
    </w:p>
    <w:p w14:paraId="6E05C851" w14:textId="36526C46" w:rsidR="00D62E0A" w:rsidRDefault="00D62E0A" w:rsidP="001E1C43">
      <w:pPr>
        <w:pStyle w:val="BodyTextIndent"/>
        <w:spacing w:after="0"/>
        <w:jc w:val="both"/>
        <w:rPr>
          <w:color w:val="000000"/>
          <w:u w:val="single"/>
        </w:rPr>
      </w:pPr>
      <w:r>
        <w:rPr>
          <w:color w:val="000000"/>
          <w:u w:val="single"/>
        </w:rPr>
        <w:t>O</w:t>
      </w:r>
      <w:r w:rsidR="00C405D9">
        <w:rPr>
          <w:color w:val="000000"/>
          <w:u w:val="single"/>
        </w:rPr>
        <w:t>fficer</w:t>
      </w:r>
      <w:r>
        <w:rPr>
          <w:color w:val="000000"/>
          <w:u w:val="single"/>
        </w:rPr>
        <w:t xml:space="preserve"> Observations</w:t>
      </w:r>
    </w:p>
    <w:p w14:paraId="0B89548E" w14:textId="77777777" w:rsidR="008A2070" w:rsidRDefault="008A2070" w:rsidP="001E1C43">
      <w:pPr>
        <w:jc w:val="both"/>
      </w:pPr>
    </w:p>
    <w:p w14:paraId="1AFEDC99" w14:textId="58FE6289" w:rsidR="00D62E0A" w:rsidRDefault="00D62E0A" w:rsidP="001E1C43">
      <w:pPr>
        <w:pStyle w:val="ListParagraph"/>
        <w:numPr>
          <w:ilvl w:val="1"/>
          <w:numId w:val="30"/>
        </w:numPr>
        <w:ind w:left="709" w:hanging="709"/>
        <w:jc w:val="both"/>
      </w:pPr>
      <w:r>
        <w:t xml:space="preserve">Representations that have been received are mainly based on </w:t>
      </w:r>
      <w:r w:rsidR="001C2993">
        <w:t>concerns with the upholding of the core licencing objectives</w:t>
      </w:r>
      <w:r w:rsidR="00D41E5B">
        <w:t xml:space="preserve">, particularly </w:t>
      </w:r>
      <w:proofErr w:type="gramStart"/>
      <w:r w:rsidR="00D41E5B">
        <w:t>with regard to</w:t>
      </w:r>
      <w:proofErr w:type="gramEnd"/>
      <w:r w:rsidR="00D41E5B">
        <w:t xml:space="preserve"> street drinking, the potential for further crime and disorder, the potential for noise nuisance, litter and the proximity of the Premises to nearby schools as well as a general objection to a 24/7 alcohol licence.</w:t>
      </w:r>
      <w:r w:rsidR="001C2993">
        <w:t xml:space="preserve"> </w:t>
      </w:r>
      <w:r w:rsidR="000C1C2E">
        <w:t>The</w:t>
      </w:r>
      <w:r w:rsidR="00012BE9">
        <w:t xml:space="preserve"> </w:t>
      </w:r>
      <w:r w:rsidR="000C1C2E">
        <w:t>received representation</w:t>
      </w:r>
      <w:r w:rsidR="001F7CD7">
        <w:t>s</w:t>
      </w:r>
      <w:r w:rsidR="000C1C2E">
        <w:t xml:space="preserve"> provide more details on this.</w:t>
      </w:r>
      <w:r w:rsidR="006D2581">
        <w:t xml:space="preserve">  The representations also raise other issues, such as traffic and other retailers selling alcohol, which are not relevant issues for the Sub-committee to consider.</w:t>
      </w:r>
    </w:p>
    <w:p w14:paraId="3E618CAF" w14:textId="77777777" w:rsidR="00D62E0A" w:rsidRDefault="00D62E0A" w:rsidP="001E1C43">
      <w:pPr>
        <w:pStyle w:val="ListParagraph"/>
        <w:ind w:left="709"/>
        <w:jc w:val="both"/>
      </w:pPr>
    </w:p>
    <w:p w14:paraId="3F5EEAC5" w14:textId="1424EFF6" w:rsidR="00D62E0A" w:rsidRDefault="00D62E0A" w:rsidP="001E1C43">
      <w:pPr>
        <w:pStyle w:val="ListParagraph"/>
        <w:numPr>
          <w:ilvl w:val="1"/>
          <w:numId w:val="30"/>
        </w:numPr>
        <w:ind w:left="709" w:hanging="709"/>
        <w:jc w:val="both"/>
      </w:pPr>
      <w:r>
        <w:t xml:space="preserve">Consideration should be given on how these issues could directly affect the </w:t>
      </w:r>
      <w:r w:rsidR="006D2581">
        <w:t>licensing</w:t>
      </w:r>
      <w:r>
        <w:t xml:space="preserve"> objectives.  </w:t>
      </w:r>
    </w:p>
    <w:p w14:paraId="5B593DF0" w14:textId="77777777" w:rsidR="00D62E0A" w:rsidRDefault="00D62E0A" w:rsidP="001E1C43">
      <w:pPr>
        <w:jc w:val="both"/>
      </w:pPr>
    </w:p>
    <w:p w14:paraId="09AA0006" w14:textId="68167693" w:rsidR="00D62E0A" w:rsidRDefault="00D62E0A" w:rsidP="001E1C43">
      <w:pPr>
        <w:pStyle w:val="ListParagraph"/>
        <w:numPr>
          <w:ilvl w:val="1"/>
          <w:numId w:val="30"/>
        </w:numPr>
        <w:ind w:left="709" w:hanging="709"/>
        <w:jc w:val="both"/>
      </w:pPr>
      <w:r>
        <w:t>The most critical part of the operating schedule are the steps</w:t>
      </w:r>
      <w:r w:rsidR="00C31479">
        <w:t xml:space="preserve"> </w:t>
      </w:r>
      <w:r w:rsidR="001E1C43">
        <w:t>proposed by</w:t>
      </w:r>
      <w:r>
        <w:t xml:space="preserve"> the </w:t>
      </w:r>
      <w:r w:rsidR="006D2581">
        <w:t>A</w:t>
      </w:r>
      <w:r>
        <w:t>pplicant to promote the licensing objectives.  Applicants are always reminded to take careful consideration as to what is entered in this section as whatever is proposed will be transferred into conditions on the licence.</w:t>
      </w:r>
    </w:p>
    <w:p w14:paraId="59CFA5DE" w14:textId="422C777F" w:rsidR="00D62E0A" w:rsidRDefault="00D62E0A" w:rsidP="001E1C43">
      <w:pPr>
        <w:pStyle w:val="ListParagraph"/>
        <w:ind w:left="709"/>
        <w:jc w:val="both"/>
      </w:pPr>
    </w:p>
    <w:p w14:paraId="0E1B1EA0" w14:textId="3CDA0C71" w:rsidR="00D62E0A" w:rsidRPr="00D8426A" w:rsidRDefault="00D62E0A" w:rsidP="001E1C43">
      <w:pPr>
        <w:pStyle w:val="ListParagraph"/>
        <w:numPr>
          <w:ilvl w:val="1"/>
          <w:numId w:val="30"/>
        </w:numPr>
        <w:ind w:left="709" w:hanging="709"/>
        <w:jc w:val="both"/>
      </w:pPr>
      <w:r>
        <w:t>The</w:t>
      </w:r>
      <w:r w:rsidR="00E51A93" w:rsidRPr="00E51A93">
        <w:t xml:space="preserve"> </w:t>
      </w:r>
      <w:r w:rsidR="00E51A93">
        <w:t>Sub-</w:t>
      </w:r>
      <w:r w:rsidR="001E1C43">
        <w:t>C</w:t>
      </w:r>
      <w:r w:rsidR="00E51A93">
        <w:t>ommittee</w:t>
      </w:r>
      <w:r w:rsidR="006D2581">
        <w:t xml:space="preserve"> ha</w:t>
      </w:r>
      <w:r>
        <w:t>s</w:t>
      </w:r>
      <w:r w:rsidR="006D2581">
        <w:t xml:space="preserve"> the</w:t>
      </w:r>
      <w:r>
        <w:t xml:space="preserve"> discretion</w:t>
      </w:r>
      <w:r w:rsidR="006D2581">
        <w:t xml:space="preserve"> to add or modify</w:t>
      </w:r>
      <w:r w:rsidR="00782129">
        <w:t xml:space="preserve"> conditions </w:t>
      </w:r>
      <w:proofErr w:type="gramStart"/>
      <w:r w:rsidR="00782129">
        <w:t>in light of</w:t>
      </w:r>
      <w:proofErr w:type="gramEnd"/>
      <w:r w:rsidR="00782129">
        <w:t xml:space="preserve"> the representations where it is appropriate to do so to promote the licensing objectives.</w:t>
      </w:r>
      <w:r w:rsidR="006D2581">
        <w:t xml:space="preserve"> </w:t>
      </w:r>
      <w:r>
        <w:t xml:space="preserve"> </w:t>
      </w:r>
      <w:r w:rsidR="000D0E14">
        <w:t xml:space="preserve">Any such </w:t>
      </w:r>
      <w:r w:rsidR="000D0E14" w:rsidRPr="00DA07C4">
        <w:t>c</w:t>
      </w:r>
      <w:r w:rsidRPr="00D8426A">
        <w:t xml:space="preserve">onditions should be tailored to the size, type, location, characteristics and activities at the premises, and the Panel should be aware of any indirect costs that may arise from the imposition of conditions. </w:t>
      </w:r>
    </w:p>
    <w:p w14:paraId="4172A5F5" w14:textId="77777777" w:rsidR="00D62E0A" w:rsidRPr="00D8426A" w:rsidRDefault="00D62E0A" w:rsidP="001E1C43">
      <w:pPr>
        <w:pStyle w:val="ListParagraph"/>
        <w:ind w:left="709"/>
        <w:jc w:val="both"/>
      </w:pPr>
    </w:p>
    <w:p w14:paraId="66558CEE" w14:textId="28A9F444" w:rsidR="00D62E0A" w:rsidRPr="00D8426A" w:rsidRDefault="00D62E0A" w:rsidP="00782129">
      <w:pPr>
        <w:pStyle w:val="ListParagraph"/>
        <w:numPr>
          <w:ilvl w:val="1"/>
          <w:numId w:val="30"/>
        </w:numPr>
        <w:ind w:left="709" w:hanging="709"/>
        <w:jc w:val="both"/>
      </w:pPr>
      <w:r w:rsidRPr="00D8426A">
        <w:tab/>
        <w:t xml:space="preserve">When imposing conditions relating to CCTV the </w:t>
      </w:r>
      <w:r w:rsidR="00E51A93">
        <w:t>Sub-</w:t>
      </w:r>
      <w:r w:rsidR="001E1C43">
        <w:t>C</w:t>
      </w:r>
      <w:r w:rsidR="00E51A93">
        <w:t xml:space="preserve">ommittee </w:t>
      </w:r>
      <w:r w:rsidRPr="00D8426A">
        <w:t xml:space="preserve">should bear in mind the Information Commissioner’s guidance that such conditions should only be imposed where it is justified to do so and in order to meet the licensing objectives.  </w:t>
      </w:r>
    </w:p>
    <w:p w14:paraId="69DCF007" w14:textId="77777777" w:rsidR="00D62E0A" w:rsidRDefault="00D62E0A" w:rsidP="001E1C43">
      <w:pPr>
        <w:pStyle w:val="BodyTextIndent"/>
        <w:spacing w:after="0"/>
        <w:ind w:left="0"/>
        <w:jc w:val="both"/>
      </w:pPr>
    </w:p>
    <w:p w14:paraId="48E97BE4" w14:textId="77777777" w:rsidR="00D62E0A" w:rsidRDefault="00D62E0A" w:rsidP="001E1C43">
      <w:pPr>
        <w:pStyle w:val="BodyTextIndent"/>
        <w:spacing w:after="0"/>
        <w:ind w:left="0"/>
        <w:jc w:val="both"/>
        <w:rPr>
          <w:rFonts w:cs="Arial"/>
          <w:color w:val="000000"/>
          <w:u w:val="single"/>
        </w:rPr>
      </w:pPr>
    </w:p>
    <w:p w14:paraId="50B9FB81" w14:textId="466FC51B" w:rsidR="00D62E0A" w:rsidRPr="001B484F" w:rsidRDefault="00D62E0A" w:rsidP="001E1C43">
      <w:pPr>
        <w:pStyle w:val="BodyTextIndent"/>
        <w:spacing w:after="0"/>
        <w:ind w:left="0"/>
        <w:jc w:val="both"/>
        <w:rPr>
          <w:rFonts w:cs="Arial"/>
          <w:color w:val="000000"/>
          <w:u w:val="single"/>
        </w:rPr>
      </w:pPr>
      <w:r w:rsidRPr="001B484F">
        <w:rPr>
          <w:rFonts w:cs="Arial"/>
          <w:color w:val="000000"/>
          <w:u w:val="single"/>
        </w:rPr>
        <w:t>Statutory guidance</w:t>
      </w:r>
    </w:p>
    <w:p w14:paraId="768B1538" w14:textId="77777777" w:rsidR="00D62E0A" w:rsidRPr="00E53F4D" w:rsidRDefault="00D62E0A" w:rsidP="001E1C43">
      <w:pPr>
        <w:pStyle w:val="BodyTextIndent"/>
        <w:spacing w:after="0"/>
        <w:ind w:left="502"/>
        <w:jc w:val="both"/>
      </w:pPr>
    </w:p>
    <w:p w14:paraId="58FBB09F" w14:textId="2B235716" w:rsidR="00D62E0A" w:rsidRDefault="00D62E0A" w:rsidP="001E1C43">
      <w:pPr>
        <w:pStyle w:val="ListParagraph"/>
        <w:numPr>
          <w:ilvl w:val="1"/>
          <w:numId w:val="30"/>
        </w:numPr>
        <w:ind w:left="709" w:hanging="709"/>
        <w:jc w:val="both"/>
      </w:pPr>
      <w:r>
        <w:t xml:space="preserve">The </w:t>
      </w:r>
      <w:r w:rsidR="00E51A93">
        <w:t>Sub- committee</w:t>
      </w:r>
      <w:r w:rsidR="00DC3832">
        <w:t>’</w:t>
      </w:r>
      <w:r w:rsidR="00E51A93">
        <w:t xml:space="preserve">s </w:t>
      </w:r>
      <w:r>
        <w:t>attention is drawn to section 2 of the current statutory guidance which refers to the licensing objectives:</w:t>
      </w:r>
      <w:r w:rsidR="00C31479">
        <w:t xml:space="preserve">  </w:t>
      </w:r>
      <w:hyperlink r:id="rId9" w:history="1">
        <w:r w:rsidR="00DC50D8">
          <w:rPr>
            <w:rStyle w:val="Hyperlink"/>
          </w:rPr>
          <w:t>Revised guidance issued under section 182 of Licensing Act 2003 - GOV.UK (www.gov.uk)</w:t>
        </w:r>
      </w:hyperlink>
    </w:p>
    <w:p w14:paraId="4AB3B9C6" w14:textId="77777777" w:rsidR="00D62E0A" w:rsidRDefault="00D62E0A" w:rsidP="001E1C43">
      <w:pPr>
        <w:jc w:val="both"/>
      </w:pPr>
    </w:p>
    <w:p w14:paraId="4C78CC57" w14:textId="77777777" w:rsidR="00D62E0A" w:rsidRDefault="00D62E0A" w:rsidP="001E1C43">
      <w:pPr>
        <w:jc w:val="both"/>
      </w:pPr>
    </w:p>
    <w:p w14:paraId="51440D28" w14:textId="5D1BBE74" w:rsidR="00D62E0A" w:rsidRDefault="00D62E0A" w:rsidP="001E1C43">
      <w:pPr>
        <w:ind w:left="567" w:hanging="567"/>
        <w:jc w:val="both"/>
        <w:rPr>
          <w:u w:val="single"/>
        </w:rPr>
      </w:pPr>
      <w:r w:rsidRPr="00D62E0A">
        <w:rPr>
          <w:u w:val="single"/>
        </w:rPr>
        <w:t>Harrow licensing Policy</w:t>
      </w:r>
    </w:p>
    <w:p w14:paraId="0A8A6D19" w14:textId="77777777" w:rsidR="001E1C43" w:rsidRPr="00D62E0A" w:rsidRDefault="001E1C43" w:rsidP="001E1C43">
      <w:pPr>
        <w:ind w:left="567" w:hanging="567"/>
        <w:jc w:val="both"/>
        <w:rPr>
          <w:u w:val="single"/>
        </w:rPr>
      </w:pPr>
    </w:p>
    <w:p w14:paraId="7C32F95F" w14:textId="66220F4B" w:rsidR="00D62E0A" w:rsidRDefault="00A57F94" w:rsidP="001E1C43">
      <w:pPr>
        <w:pStyle w:val="ListParagraph"/>
        <w:numPr>
          <w:ilvl w:val="1"/>
          <w:numId w:val="30"/>
        </w:numPr>
        <w:ind w:left="709" w:hanging="709"/>
        <w:jc w:val="both"/>
      </w:pPr>
      <w:r>
        <w:t xml:space="preserve">The </w:t>
      </w:r>
      <w:r w:rsidR="00D62E0A">
        <w:t xml:space="preserve">Licensing Authority’s Statement of Licensing Policy sets out the matters that the </w:t>
      </w:r>
      <w:r w:rsidR="00E51A93">
        <w:t xml:space="preserve">Sub- committee </w:t>
      </w:r>
      <w:r w:rsidR="00D62E0A">
        <w:t xml:space="preserve">may </w:t>
      </w:r>
      <w:proofErr w:type="gramStart"/>
      <w:r w:rsidR="00D62E0A">
        <w:t>take into account</w:t>
      </w:r>
      <w:proofErr w:type="gramEnd"/>
      <w:r w:rsidR="00D62E0A">
        <w:t xml:space="preserve"> when considering representations (although the </w:t>
      </w:r>
      <w:r w:rsidR="00E51A93">
        <w:t>Sub- committee</w:t>
      </w:r>
      <w:r w:rsidR="00D62E0A">
        <w:t xml:space="preserve"> is not limited to these matters)</w:t>
      </w:r>
      <w:r w:rsidR="00D20162">
        <w:t>.</w:t>
      </w:r>
      <w:r w:rsidR="00DC50D8" w:rsidRPr="00DC50D8">
        <w:t xml:space="preserve"> </w:t>
      </w:r>
      <w:hyperlink r:id="rId10" w:history="1">
        <w:r w:rsidR="00DC50D8">
          <w:rPr>
            <w:rStyle w:val="Hyperlink"/>
          </w:rPr>
          <w:t>Harrow_Council___Statement_of_Licensing_Policy_2016___2023.pdf</w:t>
        </w:r>
      </w:hyperlink>
    </w:p>
    <w:p w14:paraId="493596AE" w14:textId="5B3980BC" w:rsidR="00D62E0A" w:rsidRDefault="00D62E0A" w:rsidP="001E1C43">
      <w:pPr>
        <w:pStyle w:val="ListParagraph"/>
        <w:ind w:left="502"/>
        <w:jc w:val="both"/>
      </w:pPr>
    </w:p>
    <w:p w14:paraId="386BE520" w14:textId="22B9778F" w:rsidR="00D771A8" w:rsidRDefault="001E1C43" w:rsidP="001E1C43">
      <w:pPr>
        <w:ind w:left="720" w:hanging="720"/>
        <w:jc w:val="both"/>
        <w:rPr>
          <w:b/>
          <w:bCs/>
        </w:rPr>
      </w:pPr>
      <w:r>
        <w:rPr>
          <w:b/>
          <w:bCs/>
        </w:rPr>
        <w:t>3</w:t>
      </w:r>
      <w:r w:rsidR="002B5396" w:rsidRPr="002B5396">
        <w:rPr>
          <w:b/>
          <w:bCs/>
        </w:rPr>
        <w:t>.</w:t>
      </w:r>
      <w:r w:rsidR="002B5396" w:rsidRPr="002B5396">
        <w:rPr>
          <w:b/>
          <w:bCs/>
        </w:rPr>
        <w:tab/>
      </w:r>
      <w:r w:rsidR="00414D96">
        <w:rPr>
          <w:b/>
          <w:bCs/>
        </w:rPr>
        <w:t>Recommendation</w:t>
      </w:r>
    </w:p>
    <w:p w14:paraId="0CF8BC5D" w14:textId="77777777" w:rsidR="00876186" w:rsidRPr="002B5396" w:rsidRDefault="00876186" w:rsidP="001E1C43">
      <w:pPr>
        <w:ind w:left="720" w:hanging="720"/>
        <w:jc w:val="both"/>
        <w:rPr>
          <w:b/>
          <w:bCs/>
        </w:rPr>
      </w:pPr>
    </w:p>
    <w:p w14:paraId="66CA45C8" w14:textId="402C7228" w:rsidR="00D771A8" w:rsidRDefault="001E1C43" w:rsidP="001E1C43">
      <w:pPr>
        <w:ind w:left="720" w:hanging="720"/>
        <w:jc w:val="both"/>
      </w:pPr>
      <w:r>
        <w:t>3</w:t>
      </w:r>
      <w:r w:rsidR="002B5396">
        <w:t>.1</w:t>
      </w:r>
      <w:r w:rsidR="002B5396">
        <w:tab/>
      </w:r>
      <w:r w:rsidR="00D771A8">
        <w:t xml:space="preserve">The Licensing </w:t>
      </w:r>
      <w:r w:rsidR="00E51A93">
        <w:t xml:space="preserve">Sub- committee </w:t>
      </w:r>
      <w:r w:rsidR="00D771A8">
        <w:t xml:space="preserve">is required </w:t>
      </w:r>
      <w:r w:rsidR="00A61B77">
        <w:t xml:space="preserve">by the Act to take one </w:t>
      </w:r>
      <w:r w:rsidR="005C2163">
        <w:t xml:space="preserve">of the options listed below as it considered appropriate for the promotion of the licensing objectives.  </w:t>
      </w:r>
    </w:p>
    <w:p w14:paraId="5AF1616B" w14:textId="77777777" w:rsidR="00D771A8" w:rsidRDefault="00D771A8" w:rsidP="001E1C43">
      <w:pPr>
        <w:jc w:val="both"/>
      </w:pPr>
    </w:p>
    <w:p w14:paraId="428B8244" w14:textId="32C5F50F" w:rsidR="002377CF" w:rsidRDefault="001E1C43" w:rsidP="001E1C43">
      <w:pPr>
        <w:ind w:left="720" w:hanging="720"/>
        <w:jc w:val="both"/>
      </w:pPr>
      <w:r>
        <w:t>3</w:t>
      </w:r>
      <w:r w:rsidR="002B5396">
        <w:t>.2</w:t>
      </w:r>
      <w:r w:rsidR="00574C48">
        <w:t xml:space="preserve"> </w:t>
      </w:r>
      <w:r>
        <w:tab/>
      </w:r>
      <w:r w:rsidR="002377CF">
        <w:t>The steps are—</w:t>
      </w:r>
    </w:p>
    <w:p w14:paraId="48B11235" w14:textId="77777777" w:rsidR="003401D5" w:rsidRDefault="004B6813" w:rsidP="00661755">
      <w:pPr>
        <w:ind w:left="1843" w:hanging="403"/>
        <w:jc w:val="both"/>
        <w:rPr>
          <w:rStyle w:val="ui-provider"/>
        </w:rPr>
      </w:pPr>
      <w:r>
        <w:rPr>
          <w:rStyle w:val="ui-provider"/>
        </w:rPr>
        <w:t xml:space="preserve">(a) To grant the licence subject to— </w:t>
      </w:r>
    </w:p>
    <w:p w14:paraId="10ECFFFE" w14:textId="04242DC5" w:rsidR="003401D5" w:rsidRDefault="004B6813" w:rsidP="003401D5">
      <w:pPr>
        <w:ind w:left="2127" w:hanging="426"/>
        <w:jc w:val="both"/>
        <w:rPr>
          <w:rStyle w:val="ui-provider"/>
        </w:rPr>
      </w:pPr>
      <w:r>
        <w:rPr>
          <w:rStyle w:val="ui-provider"/>
        </w:rPr>
        <w:t>(</w:t>
      </w:r>
      <w:proofErr w:type="spellStart"/>
      <w:r>
        <w:rPr>
          <w:rStyle w:val="ui-provider"/>
        </w:rPr>
        <w:t>i</w:t>
      </w:r>
      <w:proofErr w:type="spellEnd"/>
      <w:r>
        <w:rPr>
          <w:rStyle w:val="ui-provider"/>
        </w:rPr>
        <w:t xml:space="preserve">) </w:t>
      </w:r>
      <w:r w:rsidR="003401D5">
        <w:rPr>
          <w:rStyle w:val="ui-provider"/>
        </w:rPr>
        <w:tab/>
      </w:r>
      <w:r>
        <w:rPr>
          <w:rStyle w:val="ui-provider"/>
        </w:rPr>
        <w:t xml:space="preserve">conditions that are consistent with the operating schedule accompanying the application modified to such extent as the authority considers appropriate for the promotion of the licensing objectives, and </w:t>
      </w:r>
    </w:p>
    <w:p w14:paraId="63F9128B" w14:textId="014AFCB5" w:rsidR="00E51A93" w:rsidRDefault="004B6813" w:rsidP="00661755">
      <w:pPr>
        <w:ind w:left="2127" w:hanging="426"/>
        <w:jc w:val="both"/>
        <w:rPr>
          <w:rStyle w:val="ui-provider"/>
        </w:rPr>
      </w:pPr>
      <w:r>
        <w:rPr>
          <w:rStyle w:val="ui-provider"/>
        </w:rPr>
        <w:t xml:space="preserve">(ii) </w:t>
      </w:r>
      <w:r w:rsidR="003401D5">
        <w:rPr>
          <w:rStyle w:val="ui-provider"/>
        </w:rPr>
        <w:tab/>
      </w:r>
      <w:r>
        <w:rPr>
          <w:rStyle w:val="ui-provider"/>
        </w:rPr>
        <w:t xml:space="preserve">any condition which must under section 19, 20 or 21 of the Licensing Act 2003 be included in the </w:t>
      </w:r>
      <w:proofErr w:type="gramStart"/>
      <w:r>
        <w:rPr>
          <w:rStyle w:val="ui-provider"/>
        </w:rPr>
        <w:t>licence;</w:t>
      </w:r>
      <w:proofErr w:type="gramEnd"/>
      <w:r>
        <w:rPr>
          <w:rStyle w:val="ui-provider"/>
        </w:rPr>
        <w:t xml:space="preserve"> </w:t>
      </w:r>
    </w:p>
    <w:p w14:paraId="47225479" w14:textId="38C8D016" w:rsidR="00E51A93" w:rsidRDefault="004B6813" w:rsidP="003401D5">
      <w:pPr>
        <w:ind w:left="1843" w:hanging="403"/>
        <w:jc w:val="both"/>
        <w:rPr>
          <w:rStyle w:val="ui-provider"/>
        </w:rPr>
      </w:pPr>
      <w:r>
        <w:rPr>
          <w:rStyle w:val="ui-provider"/>
        </w:rPr>
        <w:t xml:space="preserve">(b) to exclude from the scope of the licence any of the licensable activities to which the application </w:t>
      </w:r>
      <w:r w:rsidR="0067229E">
        <w:rPr>
          <w:rStyle w:val="ui-provider"/>
        </w:rPr>
        <w:t>relates.</w:t>
      </w:r>
      <w:r>
        <w:rPr>
          <w:rStyle w:val="ui-provider"/>
        </w:rPr>
        <w:t xml:space="preserve"> </w:t>
      </w:r>
    </w:p>
    <w:p w14:paraId="762F43B4" w14:textId="77777777" w:rsidR="003401D5" w:rsidRDefault="004B6813" w:rsidP="00661755">
      <w:pPr>
        <w:ind w:left="1843" w:hanging="403"/>
        <w:jc w:val="both"/>
        <w:rPr>
          <w:rStyle w:val="ui-provider"/>
        </w:rPr>
      </w:pPr>
      <w:r>
        <w:rPr>
          <w:rStyle w:val="ui-provider"/>
        </w:rPr>
        <w:t xml:space="preserve">(c) to refuse to specify a person in the licence as the premises </w:t>
      </w:r>
      <w:proofErr w:type="gramStart"/>
      <w:r>
        <w:rPr>
          <w:rStyle w:val="ui-provider"/>
        </w:rPr>
        <w:t>supervisor;</w:t>
      </w:r>
      <w:proofErr w:type="gramEnd"/>
      <w:r>
        <w:rPr>
          <w:rStyle w:val="ui-provider"/>
        </w:rPr>
        <w:t xml:space="preserve"> </w:t>
      </w:r>
    </w:p>
    <w:p w14:paraId="6AD7BB9A" w14:textId="07F3E975" w:rsidR="00E51A93" w:rsidRDefault="004B6813" w:rsidP="00661755">
      <w:pPr>
        <w:ind w:left="1843" w:hanging="403"/>
        <w:jc w:val="both"/>
        <w:rPr>
          <w:rStyle w:val="ui-provider"/>
        </w:rPr>
      </w:pPr>
      <w:r>
        <w:rPr>
          <w:rStyle w:val="ui-provider"/>
        </w:rPr>
        <w:t>(d) to reject the application</w:t>
      </w:r>
      <w:r w:rsidR="003401D5">
        <w:rPr>
          <w:rStyle w:val="ui-provider"/>
        </w:rPr>
        <w:t>.</w:t>
      </w:r>
    </w:p>
    <w:p w14:paraId="3CBBF091" w14:textId="77777777" w:rsidR="004B6813" w:rsidRDefault="004B6813" w:rsidP="001E1C43">
      <w:pPr>
        <w:jc w:val="both"/>
      </w:pPr>
    </w:p>
    <w:p w14:paraId="2F77F6C5" w14:textId="772A2343" w:rsidR="00866152" w:rsidRPr="00866152" w:rsidRDefault="001E1C43" w:rsidP="009D7C9A">
      <w:pPr>
        <w:ind w:left="709" w:hanging="709"/>
        <w:jc w:val="both"/>
      </w:pPr>
      <w:r>
        <w:t>4</w:t>
      </w:r>
      <w:r w:rsidR="00AD5538">
        <w:t>.</w:t>
      </w:r>
      <w:r w:rsidR="00866152">
        <w:tab/>
      </w:r>
      <w:r w:rsidR="00866152" w:rsidRPr="00CD2320">
        <w:rPr>
          <w:b/>
          <w:bCs/>
        </w:rPr>
        <w:t>Legal implications</w:t>
      </w:r>
    </w:p>
    <w:p w14:paraId="2842B2D8" w14:textId="77777777" w:rsidR="00866152" w:rsidRPr="004560F5" w:rsidRDefault="00866152" w:rsidP="0058530E">
      <w:pPr>
        <w:ind w:left="709" w:hanging="709"/>
        <w:jc w:val="both"/>
        <w:rPr>
          <w:u w:val="single"/>
        </w:rPr>
      </w:pPr>
    </w:p>
    <w:p w14:paraId="21D3C2B1" w14:textId="79AC38D6" w:rsidR="00866152" w:rsidRDefault="001E1C43" w:rsidP="0058530E">
      <w:pPr>
        <w:ind w:left="709" w:hanging="709"/>
        <w:jc w:val="both"/>
      </w:pPr>
      <w:r>
        <w:t>4</w:t>
      </w:r>
      <w:r w:rsidR="00AD5538">
        <w:t>.1</w:t>
      </w:r>
      <w:r w:rsidR="00AD5538">
        <w:tab/>
      </w:r>
      <w:r w:rsidR="00866152">
        <w:t>The Licensing</w:t>
      </w:r>
      <w:r w:rsidR="00775C0B">
        <w:t xml:space="preserve"> Sub-Committee</w:t>
      </w:r>
      <w:r w:rsidR="00866152">
        <w:t xml:space="preserve"> is required to hold a hearing to consider any relevant representations made in relation to </w:t>
      </w:r>
      <w:r w:rsidR="00A21701">
        <w:t xml:space="preserve">a </w:t>
      </w:r>
      <w:r w:rsidR="00866152">
        <w:t xml:space="preserve">premises licence application unless all parties agree that a hearing is unnecessary.  The hearing must be held in accordance with the Licensing Act 2003 (Hearings) Regulations 2005. </w:t>
      </w:r>
    </w:p>
    <w:p w14:paraId="53E0B8F2" w14:textId="77777777" w:rsidR="00866152" w:rsidRDefault="00866152" w:rsidP="001E1C43">
      <w:pPr>
        <w:ind w:left="567" w:hanging="567"/>
        <w:jc w:val="both"/>
      </w:pPr>
    </w:p>
    <w:p w14:paraId="111D709A" w14:textId="51CDE551" w:rsidR="000B032B" w:rsidRDefault="001E1C43" w:rsidP="009D7C9A">
      <w:pPr>
        <w:ind w:left="709" w:hanging="709"/>
        <w:jc w:val="both"/>
      </w:pPr>
      <w:r>
        <w:t>4</w:t>
      </w:r>
      <w:r w:rsidR="00AD5538" w:rsidRPr="00144C49">
        <w:t>.2</w:t>
      </w:r>
      <w:r w:rsidR="00AD5538" w:rsidRPr="00144C49">
        <w:tab/>
      </w:r>
      <w:r w:rsidR="000B032B" w:rsidRPr="00144C49">
        <w:t>Under</w:t>
      </w:r>
      <w:r w:rsidR="009A2875" w:rsidRPr="00144C49">
        <w:t xml:space="preserve"> Part 3</w:t>
      </w:r>
      <w:r w:rsidR="00FC5163" w:rsidRPr="00144C49">
        <w:t>A</w:t>
      </w:r>
      <w:r w:rsidR="009A2875" w:rsidRPr="00144C49">
        <w:t xml:space="preserve"> of</w:t>
      </w:r>
      <w:r w:rsidR="000B032B" w:rsidRPr="00144C49">
        <w:t xml:space="preserve"> the Council’s Constitution (</w:t>
      </w:r>
      <w:r w:rsidR="00144C49" w:rsidRPr="00DA07C4">
        <w:t>18 May 2023</w:t>
      </w:r>
      <w:r w:rsidR="000B032B" w:rsidRPr="00144C49">
        <w:t>)</w:t>
      </w:r>
      <w:r w:rsidR="009A2875" w:rsidRPr="00144C49">
        <w:t xml:space="preserve">, the Licensing Panel </w:t>
      </w:r>
      <w:r w:rsidR="009978B7" w:rsidRPr="00144C49">
        <w:t xml:space="preserve">has the power </w:t>
      </w:r>
      <w:r w:rsidR="00783A69" w:rsidRPr="00144C49">
        <w:t>to determine applications and to make Orders in respect of licences</w:t>
      </w:r>
      <w:r w:rsidR="00F67DDD">
        <w:t xml:space="preserve"> where objections have been received</w:t>
      </w:r>
      <w:r w:rsidR="00783A69" w:rsidRPr="00144C49">
        <w:t>.</w:t>
      </w:r>
    </w:p>
    <w:p w14:paraId="7BA61BC5" w14:textId="77777777" w:rsidR="000B032B" w:rsidRDefault="000B032B" w:rsidP="0058530E">
      <w:pPr>
        <w:ind w:left="709" w:hanging="709"/>
        <w:jc w:val="both"/>
      </w:pPr>
    </w:p>
    <w:p w14:paraId="6F24020A" w14:textId="19E15595" w:rsidR="00866152" w:rsidRDefault="001E1C43" w:rsidP="0058530E">
      <w:pPr>
        <w:ind w:left="709" w:hanging="709"/>
        <w:jc w:val="both"/>
      </w:pPr>
      <w:r>
        <w:t>4</w:t>
      </w:r>
      <w:r w:rsidR="000B032B">
        <w:t>.3</w:t>
      </w:r>
      <w:r w:rsidR="000B032B">
        <w:tab/>
      </w:r>
      <w:r w:rsidR="00866152">
        <w:t xml:space="preserve">The Licensing Panel is required to give appropriate weight to the representations (including supporting information) presented by all the parties, the Guidance issued pursuant to section 182 of the Act, the Council’s </w:t>
      </w:r>
      <w:r w:rsidR="00C42E1D">
        <w:t>S</w:t>
      </w:r>
      <w:r w:rsidR="00866152">
        <w:t xml:space="preserve">tatement of </w:t>
      </w:r>
      <w:r w:rsidR="00C42E1D">
        <w:t>L</w:t>
      </w:r>
      <w:r w:rsidR="00866152">
        <w:t xml:space="preserve">icensing </w:t>
      </w:r>
      <w:r w:rsidR="00C42E1D">
        <w:t>P</w:t>
      </w:r>
      <w:r w:rsidR="00866152">
        <w:t xml:space="preserve">olicy </w:t>
      </w:r>
      <w:r w:rsidR="00F67DDD">
        <w:t xml:space="preserve">2022 </w:t>
      </w:r>
      <w:r w:rsidR="00866152">
        <w:t>and the steps that are appropriate to promote the four licensing objectives.</w:t>
      </w:r>
    </w:p>
    <w:p w14:paraId="536F2993" w14:textId="77777777" w:rsidR="00866152" w:rsidRDefault="00866152" w:rsidP="0058530E">
      <w:pPr>
        <w:ind w:left="709" w:hanging="709"/>
        <w:jc w:val="both"/>
      </w:pPr>
    </w:p>
    <w:p w14:paraId="6A9AD4A0" w14:textId="56C2EA14" w:rsidR="00CC39C7" w:rsidRDefault="001E1C43" w:rsidP="0058530E">
      <w:pPr>
        <w:ind w:left="709" w:hanging="709"/>
        <w:jc w:val="both"/>
      </w:pPr>
      <w:r>
        <w:t>4</w:t>
      </w:r>
      <w:r w:rsidR="00AD5538">
        <w:t>.</w:t>
      </w:r>
      <w:r w:rsidR="0036714E">
        <w:t>4</w:t>
      </w:r>
      <w:r w:rsidR="00AD5538">
        <w:tab/>
      </w:r>
      <w:r w:rsidR="00866152">
        <w:t xml:space="preserve">Having considered those relevant matters, the Licensing Panel is required to take such </w:t>
      </w:r>
      <w:r w:rsidR="00CC39C7">
        <w:t>steps (as outlined in section 3.2)</w:t>
      </w:r>
      <w:r w:rsidR="00866152">
        <w:t xml:space="preserve"> as it considers appropriate for the promotion of the licensing objectives</w:t>
      </w:r>
      <w:r w:rsidR="00F67DDD">
        <w:t>.</w:t>
      </w:r>
    </w:p>
    <w:p w14:paraId="280F951E" w14:textId="77777777" w:rsidR="00866152" w:rsidRDefault="00866152" w:rsidP="001E1C43">
      <w:pPr>
        <w:jc w:val="both"/>
      </w:pPr>
    </w:p>
    <w:p w14:paraId="78D86547" w14:textId="74528276" w:rsidR="00866152" w:rsidRDefault="00373570" w:rsidP="009D7C9A">
      <w:pPr>
        <w:ind w:left="709" w:hanging="709"/>
        <w:jc w:val="both"/>
      </w:pPr>
      <w:r>
        <w:t>4</w:t>
      </w:r>
      <w:r w:rsidR="00AD5538">
        <w:t>.</w:t>
      </w:r>
      <w:r w:rsidR="0036714E">
        <w:t>5</w:t>
      </w:r>
      <w:r w:rsidR="00AD5538">
        <w:tab/>
      </w:r>
      <w:r w:rsidR="00866152">
        <w:t>It should be noted with all options that –</w:t>
      </w:r>
    </w:p>
    <w:p w14:paraId="20B25CA4" w14:textId="77777777" w:rsidR="00866152" w:rsidRDefault="00866152" w:rsidP="00373570">
      <w:pPr>
        <w:ind w:left="851" w:hanging="851"/>
        <w:jc w:val="both"/>
      </w:pPr>
    </w:p>
    <w:p w14:paraId="7598BF30" w14:textId="77777777" w:rsidR="00866152" w:rsidRDefault="00866152" w:rsidP="00373570">
      <w:pPr>
        <w:pStyle w:val="ListParagraph"/>
        <w:numPr>
          <w:ilvl w:val="0"/>
          <w:numId w:val="31"/>
        </w:numPr>
        <w:jc w:val="both"/>
      </w:pPr>
      <w:r>
        <w:t>clear reasons should be given for the decision.</w:t>
      </w:r>
    </w:p>
    <w:p w14:paraId="7FEB9CCE" w14:textId="22827B48" w:rsidR="00866152" w:rsidRDefault="00866152" w:rsidP="00373570">
      <w:pPr>
        <w:pStyle w:val="ListParagraph"/>
        <w:numPr>
          <w:ilvl w:val="0"/>
          <w:numId w:val="31"/>
        </w:numPr>
        <w:jc w:val="both"/>
      </w:pPr>
      <w:r>
        <w:t>any additional or modified conditions should be</w:t>
      </w:r>
      <w:r w:rsidR="00F67DDD">
        <w:t xml:space="preserve"> clear</w:t>
      </w:r>
      <w:r w:rsidR="005E2F95">
        <w:t>,</w:t>
      </w:r>
      <w:r>
        <w:t xml:space="preserve"> </w:t>
      </w:r>
      <w:proofErr w:type="gramStart"/>
      <w:r>
        <w:t>practical</w:t>
      </w:r>
      <w:proofErr w:type="gramEnd"/>
      <w:r>
        <w:t xml:space="preserve"> and enforceable</w:t>
      </w:r>
      <w:r w:rsidR="00BA4474">
        <w:t>.</w:t>
      </w:r>
    </w:p>
    <w:p w14:paraId="40E06BCC" w14:textId="77777777" w:rsidR="00866152" w:rsidRDefault="00866152" w:rsidP="00373570">
      <w:pPr>
        <w:ind w:left="851" w:hanging="851"/>
        <w:jc w:val="both"/>
      </w:pPr>
    </w:p>
    <w:p w14:paraId="7C9448C6" w14:textId="3DD4C199" w:rsidR="00866152" w:rsidRDefault="00373570" w:rsidP="009D7C9A">
      <w:pPr>
        <w:ind w:left="709" w:hanging="709"/>
        <w:jc w:val="both"/>
      </w:pPr>
      <w:r>
        <w:t>4</w:t>
      </w:r>
      <w:r w:rsidR="00AD5538">
        <w:t>.</w:t>
      </w:r>
      <w:r w:rsidR="0036714E">
        <w:t>6</w:t>
      </w:r>
      <w:r w:rsidR="00AD5538">
        <w:tab/>
      </w:r>
      <w:r w:rsidR="00866152">
        <w:t xml:space="preserve">In addition to determining the application in accordance with the legislation, Members must have regard to the – </w:t>
      </w:r>
    </w:p>
    <w:p w14:paraId="5FB8C1B3" w14:textId="77777777" w:rsidR="00866152" w:rsidRDefault="00866152" w:rsidP="00373570">
      <w:pPr>
        <w:ind w:left="851" w:hanging="851"/>
        <w:jc w:val="both"/>
      </w:pPr>
    </w:p>
    <w:p w14:paraId="4DEBCDE9" w14:textId="77777777" w:rsidR="00866152" w:rsidRDefault="00866152" w:rsidP="00373570">
      <w:pPr>
        <w:pStyle w:val="ListParagraph"/>
        <w:numPr>
          <w:ilvl w:val="0"/>
          <w:numId w:val="32"/>
        </w:numPr>
        <w:jc w:val="both"/>
      </w:pPr>
      <w:r>
        <w:t>common law rules of natural justice</w:t>
      </w:r>
    </w:p>
    <w:p w14:paraId="6A475456" w14:textId="77777777" w:rsidR="00866152" w:rsidRDefault="00866152" w:rsidP="00373570">
      <w:pPr>
        <w:pStyle w:val="ListParagraph"/>
        <w:numPr>
          <w:ilvl w:val="0"/>
          <w:numId w:val="32"/>
        </w:numPr>
        <w:jc w:val="both"/>
      </w:pPr>
      <w:r>
        <w:lastRenderedPageBreak/>
        <w:t>provisions of the Human Rights Act 1998</w:t>
      </w:r>
    </w:p>
    <w:p w14:paraId="4D7B4846" w14:textId="77777777" w:rsidR="00866152" w:rsidRDefault="00866152" w:rsidP="00373570">
      <w:pPr>
        <w:pStyle w:val="ListParagraph"/>
        <w:numPr>
          <w:ilvl w:val="0"/>
          <w:numId w:val="32"/>
        </w:numPr>
        <w:jc w:val="both"/>
      </w:pPr>
      <w:r>
        <w:t>considerations in section 17 of the Crime and Disorder Act 1998</w:t>
      </w:r>
    </w:p>
    <w:p w14:paraId="0D9087E4" w14:textId="77777777" w:rsidR="00866152" w:rsidRDefault="00866152" w:rsidP="001E1C43">
      <w:pPr>
        <w:ind w:left="567" w:hanging="567"/>
        <w:jc w:val="both"/>
      </w:pPr>
    </w:p>
    <w:p w14:paraId="7CB9DCDD" w14:textId="66485CB8" w:rsidR="00866152" w:rsidRDefault="00373570" w:rsidP="009D7C9A">
      <w:pPr>
        <w:ind w:left="709" w:hanging="709"/>
        <w:jc w:val="both"/>
      </w:pPr>
      <w:r>
        <w:t>4</w:t>
      </w:r>
      <w:r w:rsidR="00AD5538">
        <w:t>.</w:t>
      </w:r>
      <w:r w:rsidR="0036714E">
        <w:t>7</w:t>
      </w:r>
      <w:r w:rsidR="00AD5538">
        <w:tab/>
      </w:r>
      <w:r w:rsidR="00866152">
        <w:t xml:space="preserve">By section 6 of the Human Rights Act 1998, the </w:t>
      </w:r>
      <w:r w:rsidR="004B6813">
        <w:t xml:space="preserve">licensing Sub- committee </w:t>
      </w:r>
      <w:r w:rsidR="00866152">
        <w:t>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4CBE936E" w14:textId="77777777" w:rsidR="00D62E0A" w:rsidRDefault="00D62E0A" w:rsidP="0058530E">
      <w:pPr>
        <w:ind w:left="709" w:hanging="709"/>
        <w:jc w:val="both"/>
      </w:pPr>
    </w:p>
    <w:p w14:paraId="342E9B3D" w14:textId="2741B6D0" w:rsidR="00D62E0A" w:rsidRDefault="00373570" w:rsidP="0058530E">
      <w:pPr>
        <w:ind w:left="709" w:hanging="709"/>
        <w:jc w:val="both"/>
      </w:pPr>
      <w:proofErr w:type="gramStart"/>
      <w:r>
        <w:t>4</w:t>
      </w:r>
      <w:r w:rsidR="00D62E0A">
        <w:t>.8</w:t>
      </w:r>
      <w:r>
        <w:t xml:space="preserve"> </w:t>
      </w:r>
      <w:r w:rsidR="00D62E0A">
        <w:t xml:space="preserve"> </w:t>
      </w:r>
      <w:r w:rsidR="00055DA1">
        <w:tab/>
      </w:r>
      <w:proofErr w:type="gramEnd"/>
      <w:r w:rsidR="00D62E0A">
        <w:t xml:space="preserve">If any party </w:t>
      </w:r>
      <w:r w:rsidR="004B6813">
        <w:t xml:space="preserve">wishes to challenge </w:t>
      </w:r>
      <w:r w:rsidR="00D62E0A">
        <w:t xml:space="preserve">the decision of the </w:t>
      </w:r>
      <w:r w:rsidR="005E2F95">
        <w:t>L</w:t>
      </w:r>
      <w:r w:rsidR="00D62E0A">
        <w:t xml:space="preserve">icensing </w:t>
      </w:r>
      <w:r w:rsidR="004B6813">
        <w:t xml:space="preserve">Sub- committee </w:t>
      </w:r>
      <w:r w:rsidR="00D62E0A">
        <w:t xml:space="preserve">on one of the grounds set out in Schedule 5 to the Act, they can appeal to a </w:t>
      </w:r>
      <w:r w:rsidR="00127B56">
        <w:t>M</w:t>
      </w:r>
      <w:r w:rsidR="00D62E0A">
        <w:t xml:space="preserve">agistrates’ </w:t>
      </w:r>
      <w:r w:rsidR="00127B56">
        <w:t>C</w:t>
      </w:r>
      <w:r w:rsidR="00D62E0A">
        <w:t>ourt within 21 days from notification of the decision.</w:t>
      </w:r>
    </w:p>
    <w:p w14:paraId="015AFC7B" w14:textId="77777777" w:rsidR="00866152" w:rsidRDefault="00866152" w:rsidP="001E1C43">
      <w:pPr>
        <w:jc w:val="both"/>
      </w:pPr>
    </w:p>
    <w:p w14:paraId="4D3C13EF" w14:textId="77777777" w:rsidR="00866152" w:rsidRDefault="00866152" w:rsidP="001E1C43">
      <w:pPr>
        <w:jc w:val="both"/>
      </w:pPr>
    </w:p>
    <w:p w14:paraId="14D58561" w14:textId="4C4B741B" w:rsidR="00866152" w:rsidRPr="00CD2320" w:rsidRDefault="00055DA1" w:rsidP="009D7C9A">
      <w:pPr>
        <w:ind w:left="709" w:hanging="709"/>
        <w:jc w:val="both"/>
        <w:rPr>
          <w:b/>
          <w:bCs/>
        </w:rPr>
      </w:pPr>
      <w:r>
        <w:rPr>
          <w:b/>
          <w:bCs/>
        </w:rPr>
        <w:t>5</w:t>
      </w:r>
      <w:r w:rsidR="00CD2320" w:rsidRPr="00CD2320">
        <w:rPr>
          <w:b/>
          <w:bCs/>
        </w:rPr>
        <w:t xml:space="preserve"> </w:t>
      </w:r>
      <w:r w:rsidR="00CC39C7">
        <w:rPr>
          <w:b/>
          <w:bCs/>
        </w:rPr>
        <w:tab/>
      </w:r>
      <w:r w:rsidR="00866152" w:rsidRPr="00CD2320">
        <w:rPr>
          <w:b/>
          <w:bCs/>
        </w:rPr>
        <w:t>Financial Implications</w:t>
      </w:r>
    </w:p>
    <w:p w14:paraId="5E6A8DA3" w14:textId="77777777" w:rsidR="00866152" w:rsidRDefault="00866152" w:rsidP="0058530E">
      <w:pPr>
        <w:ind w:left="709" w:hanging="709"/>
        <w:jc w:val="both"/>
      </w:pPr>
    </w:p>
    <w:p w14:paraId="38C89748" w14:textId="1AC42FFF" w:rsidR="00866152" w:rsidRPr="00995B2E" w:rsidRDefault="00055DA1" w:rsidP="0058530E">
      <w:pPr>
        <w:ind w:left="709" w:hanging="709"/>
        <w:jc w:val="both"/>
        <w:rPr>
          <w:color w:val="000000" w:themeColor="text1"/>
        </w:rPr>
      </w:pPr>
      <w:r>
        <w:t>5</w:t>
      </w:r>
      <w:r w:rsidR="00AD5538">
        <w:t>.1</w:t>
      </w:r>
      <w:r w:rsidR="00AD5538">
        <w:tab/>
      </w:r>
      <w:r w:rsidR="00866152">
        <w:t>There are no financial implications, other than a small fee income if the new licence is granted.</w:t>
      </w:r>
    </w:p>
    <w:p w14:paraId="4815CABC" w14:textId="77777777" w:rsidR="00866152" w:rsidRPr="00995B2E" w:rsidRDefault="00866152" w:rsidP="001E1C43">
      <w:pPr>
        <w:jc w:val="both"/>
        <w:rPr>
          <w:color w:val="000000" w:themeColor="text1"/>
        </w:rPr>
      </w:pPr>
    </w:p>
    <w:p w14:paraId="1911B5FC" w14:textId="77777777" w:rsidR="000E1138" w:rsidRPr="00995B2E" w:rsidRDefault="000E1138" w:rsidP="001E1C43">
      <w:pPr>
        <w:jc w:val="both"/>
        <w:textAlignment w:val="baseline"/>
        <w:rPr>
          <w:rFonts w:cs="Arial"/>
          <w:b/>
          <w:bCs/>
          <w:color w:val="000000" w:themeColor="text1"/>
          <w:sz w:val="28"/>
          <w:szCs w:val="28"/>
          <w:lang w:eastAsia="en-GB"/>
        </w:rPr>
      </w:pPr>
    </w:p>
    <w:p w14:paraId="4776DD3D" w14:textId="663D674B" w:rsidR="00CC7685" w:rsidRPr="00995B2E" w:rsidRDefault="00055DA1" w:rsidP="0058530E">
      <w:pPr>
        <w:ind w:left="709" w:hanging="709"/>
        <w:jc w:val="both"/>
        <w:textAlignment w:val="baseline"/>
        <w:rPr>
          <w:rFonts w:ascii="Segoe UI" w:hAnsi="Segoe UI" w:cs="Segoe UI"/>
          <w:b/>
          <w:bCs/>
          <w:color w:val="000000" w:themeColor="text1"/>
          <w:sz w:val="18"/>
          <w:szCs w:val="18"/>
          <w:lang w:eastAsia="en-GB"/>
        </w:rPr>
      </w:pPr>
      <w:r>
        <w:rPr>
          <w:b/>
          <w:bCs/>
          <w:color w:val="000000" w:themeColor="text1"/>
        </w:rPr>
        <w:t xml:space="preserve">6. </w:t>
      </w:r>
      <w:r w:rsidR="00CC7685" w:rsidRPr="00995B2E">
        <w:rPr>
          <w:b/>
          <w:bCs/>
          <w:color w:val="000000" w:themeColor="text1"/>
        </w:rPr>
        <w:t>Risk Management Implications </w:t>
      </w:r>
    </w:p>
    <w:p w14:paraId="05F403E7" w14:textId="77777777" w:rsidR="00CC7685" w:rsidRPr="00995B2E" w:rsidRDefault="00CC7685" w:rsidP="001E1C43">
      <w:pPr>
        <w:ind w:left="555" w:hanging="555"/>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val="en-US" w:eastAsia="en-GB"/>
        </w:rPr>
        <w:t> </w:t>
      </w:r>
      <w:r w:rsidRPr="00995B2E">
        <w:rPr>
          <w:rFonts w:cs="Arial"/>
          <w:color w:val="000000" w:themeColor="text1"/>
          <w:szCs w:val="24"/>
          <w:lang w:eastAsia="en-GB"/>
        </w:rPr>
        <w:t> </w:t>
      </w:r>
    </w:p>
    <w:p w14:paraId="7D467607" w14:textId="68E7EE2D" w:rsidR="00CC7685" w:rsidRPr="00995B2E" w:rsidRDefault="00AD5538" w:rsidP="0058530E">
      <w:pPr>
        <w:ind w:left="709" w:hanging="709"/>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val="en-US" w:eastAsia="en-GB"/>
        </w:rPr>
        <w:tab/>
      </w:r>
      <w:r w:rsidR="00CC7685" w:rsidRPr="00995B2E">
        <w:rPr>
          <w:rFonts w:cs="Arial"/>
          <w:color w:val="000000" w:themeColor="text1"/>
          <w:szCs w:val="24"/>
          <w:lang w:val="en-US" w:eastAsia="en-GB"/>
        </w:rPr>
        <w:t xml:space="preserve">Risks included on corporate or directorate risk </w:t>
      </w:r>
      <w:proofErr w:type="gramStart"/>
      <w:r w:rsidR="00CC7685" w:rsidRPr="00995B2E">
        <w:rPr>
          <w:rFonts w:cs="Arial"/>
          <w:color w:val="000000" w:themeColor="text1"/>
          <w:szCs w:val="24"/>
          <w:lang w:val="en-US" w:eastAsia="en-GB"/>
        </w:rPr>
        <w:t>register?</w:t>
      </w:r>
      <w:proofErr w:type="gramEnd"/>
      <w:r w:rsidR="00CC7685" w:rsidRPr="00995B2E">
        <w:rPr>
          <w:rFonts w:cs="Arial"/>
          <w:color w:val="000000" w:themeColor="text1"/>
          <w:szCs w:val="24"/>
          <w:lang w:val="en-US" w:eastAsia="en-GB"/>
        </w:rPr>
        <w:t> </w:t>
      </w:r>
      <w:r w:rsidR="008F75CE" w:rsidRPr="00995B2E">
        <w:rPr>
          <w:rFonts w:cs="Arial"/>
          <w:b/>
          <w:bCs/>
          <w:color w:val="000000" w:themeColor="text1"/>
          <w:szCs w:val="24"/>
          <w:lang w:val="en-US" w:eastAsia="en-GB"/>
        </w:rPr>
        <w:t xml:space="preserve"> </w:t>
      </w:r>
      <w:r w:rsidR="00CC7685" w:rsidRPr="00995B2E">
        <w:rPr>
          <w:rFonts w:cs="Arial"/>
          <w:b/>
          <w:bCs/>
          <w:color w:val="000000" w:themeColor="text1"/>
          <w:szCs w:val="24"/>
          <w:lang w:val="en-US" w:eastAsia="en-GB"/>
        </w:rPr>
        <w:t>/No</w:t>
      </w:r>
      <w:r w:rsidR="00CC7685" w:rsidRPr="00995B2E">
        <w:rPr>
          <w:rFonts w:cs="Arial"/>
          <w:color w:val="000000" w:themeColor="text1"/>
          <w:szCs w:val="24"/>
          <w:lang w:val="en-US" w:eastAsia="en-GB"/>
        </w:rPr>
        <w:t> </w:t>
      </w:r>
    </w:p>
    <w:p w14:paraId="132AE4D4" w14:textId="77777777" w:rsidR="00CC7685" w:rsidRPr="00995B2E" w:rsidRDefault="00CC7685" w:rsidP="0058530E">
      <w:pPr>
        <w:ind w:left="709" w:hanging="709"/>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val="en-US" w:eastAsia="en-GB"/>
        </w:rPr>
        <w:t>  </w:t>
      </w:r>
      <w:r w:rsidRPr="00995B2E">
        <w:rPr>
          <w:rFonts w:cs="Arial"/>
          <w:color w:val="000000" w:themeColor="text1"/>
          <w:szCs w:val="24"/>
          <w:lang w:eastAsia="en-GB"/>
        </w:rPr>
        <w:t> </w:t>
      </w:r>
    </w:p>
    <w:p w14:paraId="6F995D46" w14:textId="4137763C" w:rsidR="00CC7685" w:rsidRPr="00995B2E" w:rsidRDefault="00CC7685" w:rsidP="0058530E">
      <w:pPr>
        <w:ind w:left="709"/>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val="en-US" w:eastAsia="en-GB"/>
        </w:rPr>
        <w:t>Separate risk register in place? </w:t>
      </w:r>
      <w:r w:rsidR="008F75CE" w:rsidRPr="00995B2E">
        <w:rPr>
          <w:rFonts w:cs="Arial"/>
          <w:b/>
          <w:bCs/>
          <w:color w:val="000000" w:themeColor="text1"/>
          <w:szCs w:val="24"/>
          <w:lang w:val="en-US" w:eastAsia="en-GB"/>
        </w:rPr>
        <w:t xml:space="preserve"> </w:t>
      </w:r>
      <w:r w:rsidRPr="00995B2E">
        <w:rPr>
          <w:rFonts w:cs="Arial"/>
          <w:b/>
          <w:bCs/>
          <w:color w:val="000000" w:themeColor="text1"/>
          <w:szCs w:val="24"/>
          <w:lang w:val="en-US" w:eastAsia="en-GB"/>
        </w:rPr>
        <w:t>/No</w:t>
      </w:r>
      <w:r w:rsidRPr="00995B2E">
        <w:rPr>
          <w:rFonts w:cs="Arial"/>
          <w:color w:val="000000" w:themeColor="text1"/>
          <w:szCs w:val="24"/>
          <w:lang w:val="en-US" w:eastAsia="en-GB"/>
        </w:rPr>
        <w:t> </w:t>
      </w:r>
    </w:p>
    <w:p w14:paraId="699C3279" w14:textId="77777777" w:rsidR="00CC7685" w:rsidRPr="00995B2E" w:rsidRDefault="00CC7685" w:rsidP="0058530E">
      <w:pPr>
        <w:ind w:left="709" w:hanging="709"/>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eastAsia="en-GB"/>
        </w:rPr>
        <w:t>  </w:t>
      </w:r>
    </w:p>
    <w:p w14:paraId="1E941739" w14:textId="05A33BFB" w:rsidR="00CC7685" w:rsidRPr="00995B2E" w:rsidRDefault="00CC7685" w:rsidP="0058530E">
      <w:pPr>
        <w:ind w:left="709"/>
        <w:jc w:val="both"/>
        <w:textAlignment w:val="baseline"/>
        <w:rPr>
          <w:rFonts w:cs="Arial"/>
          <w:b/>
          <w:bCs/>
          <w:color w:val="000000" w:themeColor="text1"/>
          <w:szCs w:val="24"/>
          <w:lang w:val="en-US" w:eastAsia="en-GB"/>
        </w:rPr>
      </w:pPr>
      <w:r w:rsidRPr="00995B2E">
        <w:rPr>
          <w:rFonts w:cs="Arial"/>
          <w:color w:val="000000" w:themeColor="text1"/>
          <w:szCs w:val="24"/>
          <w:lang w:eastAsia="en-GB"/>
        </w:rPr>
        <w:t>The relevant risks contained in the register are attached/summarised below. </w:t>
      </w:r>
      <w:r w:rsidR="00F24C3B">
        <w:rPr>
          <w:rFonts w:cs="Arial"/>
          <w:b/>
          <w:bCs/>
          <w:color w:val="000000" w:themeColor="text1"/>
          <w:szCs w:val="24"/>
          <w:lang w:val="en-US" w:eastAsia="en-GB"/>
        </w:rPr>
        <w:t>No</w:t>
      </w:r>
    </w:p>
    <w:p w14:paraId="1CC2F8EE" w14:textId="77777777" w:rsidR="008F75CE" w:rsidRPr="00995B2E" w:rsidRDefault="008F75CE" w:rsidP="0058530E">
      <w:pPr>
        <w:ind w:left="709" w:hanging="709"/>
        <w:jc w:val="both"/>
        <w:textAlignment w:val="baseline"/>
        <w:rPr>
          <w:rFonts w:ascii="Segoe UI" w:hAnsi="Segoe UI" w:cs="Segoe UI"/>
          <w:color w:val="000000" w:themeColor="text1"/>
          <w:sz w:val="18"/>
          <w:szCs w:val="18"/>
          <w:lang w:eastAsia="en-GB"/>
        </w:rPr>
      </w:pPr>
    </w:p>
    <w:p w14:paraId="324BBA01" w14:textId="6667C633" w:rsidR="00CC7685" w:rsidRPr="00995B2E" w:rsidRDefault="00AD5538" w:rsidP="0058530E">
      <w:pPr>
        <w:ind w:left="709" w:hanging="709"/>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eastAsia="en-GB"/>
        </w:rPr>
        <w:tab/>
        <w:t>T</w:t>
      </w:r>
      <w:r w:rsidR="00CC7685" w:rsidRPr="00995B2E">
        <w:rPr>
          <w:rFonts w:cs="Arial"/>
          <w:color w:val="000000" w:themeColor="text1"/>
          <w:szCs w:val="24"/>
          <w:lang w:eastAsia="en-GB"/>
        </w:rPr>
        <w:t>he following key risks should be </w:t>
      </w:r>
      <w:proofErr w:type="gramStart"/>
      <w:r w:rsidR="00CC7685" w:rsidRPr="00995B2E">
        <w:rPr>
          <w:rFonts w:cs="Arial"/>
          <w:color w:val="000000" w:themeColor="text1"/>
          <w:szCs w:val="24"/>
          <w:lang w:eastAsia="en-GB"/>
        </w:rPr>
        <w:t>taken into</w:t>
      </w:r>
      <w:r w:rsidR="00F24C3B">
        <w:rPr>
          <w:rFonts w:cs="Arial"/>
          <w:color w:val="000000" w:themeColor="text1"/>
          <w:szCs w:val="24"/>
          <w:lang w:eastAsia="en-GB"/>
        </w:rPr>
        <w:t xml:space="preserve"> </w:t>
      </w:r>
      <w:r w:rsidR="00CC7685" w:rsidRPr="00995B2E">
        <w:rPr>
          <w:rFonts w:cs="Arial"/>
          <w:color w:val="000000" w:themeColor="text1"/>
          <w:szCs w:val="24"/>
          <w:lang w:eastAsia="en-GB"/>
        </w:rPr>
        <w:t>account</w:t>
      </w:r>
      <w:proofErr w:type="gramEnd"/>
      <w:r w:rsidR="00CC7685" w:rsidRPr="00995B2E">
        <w:rPr>
          <w:rFonts w:cs="Arial"/>
          <w:color w:val="000000" w:themeColor="text1"/>
          <w:szCs w:val="24"/>
          <w:lang w:eastAsia="en-GB"/>
        </w:rPr>
        <w:t> when agreeing the recommendations in this report: </w:t>
      </w:r>
    </w:p>
    <w:p w14:paraId="1E2B791B" w14:textId="77777777" w:rsidR="00CC7685" w:rsidRPr="00995B2E" w:rsidRDefault="00CC7685" w:rsidP="001E1C43">
      <w:pPr>
        <w:ind w:left="555" w:hanging="555"/>
        <w:jc w:val="both"/>
        <w:textAlignment w:val="baseline"/>
        <w:rPr>
          <w:rFonts w:ascii="Segoe UI" w:hAnsi="Segoe UI" w:cs="Segoe UI"/>
          <w:color w:val="000000" w:themeColor="text1"/>
          <w:sz w:val="18"/>
          <w:szCs w:val="18"/>
          <w:lang w:eastAsia="en-GB"/>
        </w:rPr>
      </w:pPr>
      <w:r w:rsidRPr="00995B2E">
        <w:rPr>
          <w:rFonts w:cs="Arial"/>
          <w:color w:val="000000" w:themeColor="text1"/>
          <w:szCs w:val="24"/>
          <w:lang w:val="en-US" w:eastAsia="en-GB"/>
        </w:rPr>
        <w:t> </w:t>
      </w:r>
      <w:r w:rsidRPr="00995B2E">
        <w:rPr>
          <w:rFonts w:cs="Arial"/>
          <w:color w:val="000000" w:themeColor="text1"/>
          <w:szCs w:val="24"/>
          <w:lang w:eastAsia="en-GB"/>
        </w:rPr>
        <w:t> </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3165"/>
        <w:gridCol w:w="1980"/>
      </w:tblGrid>
      <w:tr w:rsidR="00CC7685" w:rsidRPr="00CC7685" w14:paraId="5DBFC29C" w14:textId="77777777" w:rsidTr="00055DA1">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1B1E4" w14:textId="77777777" w:rsidR="00CC7685" w:rsidRPr="00CC7685" w:rsidRDefault="00CC7685" w:rsidP="001E1C43">
            <w:pPr>
              <w:jc w:val="both"/>
              <w:textAlignment w:val="baseline"/>
              <w:rPr>
                <w:rFonts w:ascii="Times New Roman" w:hAnsi="Times New Roman"/>
                <w:szCs w:val="24"/>
                <w:lang w:eastAsia="en-GB"/>
              </w:rPr>
            </w:pPr>
            <w:r w:rsidRPr="00CC7685">
              <w:rPr>
                <w:rFonts w:cs="Arial"/>
                <w:b/>
                <w:bCs/>
                <w:szCs w:val="24"/>
                <w:lang w:val="en-US" w:eastAsia="en-GB"/>
              </w:rPr>
              <w:t>Risk Description</w:t>
            </w:r>
            <w:r w:rsidRPr="00CC7685">
              <w:rPr>
                <w:rFonts w:cs="Arial"/>
                <w:szCs w:val="24"/>
                <w:lang w:eastAsia="en-GB"/>
              </w:rPr>
              <w:t> </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22A54" w14:textId="77777777" w:rsidR="00CC7685" w:rsidRPr="00CC7685" w:rsidRDefault="00CC7685" w:rsidP="001E1C43">
            <w:pPr>
              <w:jc w:val="both"/>
              <w:textAlignment w:val="baseline"/>
              <w:rPr>
                <w:rFonts w:ascii="Times New Roman" w:hAnsi="Times New Roman"/>
                <w:szCs w:val="24"/>
                <w:lang w:eastAsia="en-GB"/>
              </w:rPr>
            </w:pPr>
            <w:r w:rsidRPr="00CC7685">
              <w:rPr>
                <w:rFonts w:cs="Arial"/>
                <w:b/>
                <w:bCs/>
                <w:szCs w:val="24"/>
                <w:lang w:val="en-US" w:eastAsia="en-GB"/>
              </w:rPr>
              <w:t>Mitigations</w:t>
            </w:r>
            <w:r w:rsidRPr="00CC7685">
              <w:rPr>
                <w:rFonts w:cs="Arial"/>
                <w:szCs w:val="24"/>
                <w:lang w:eastAsia="en-GB"/>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3EC2B1" w14:textId="77777777" w:rsidR="00CC7685" w:rsidRPr="00CC7685" w:rsidRDefault="00CC7685" w:rsidP="001E1C43">
            <w:pPr>
              <w:jc w:val="both"/>
              <w:textAlignment w:val="baseline"/>
              <w:rPr>
                <w:rFonts w:ascii="Times New Roman" w:hAnsi="Times New Roman"/>
                <w:szCs w:val="24"/>
                <w:lang w:eastAsia="en-GB"/>
              </w:rPr>
            </w:pPr>
            <w:r w:rsidRPr="00CC7685">
              <w:rPr>
                <w:rFonts w:cs="Arial"/>
                <w:b/>
                <w:bCs/>
                <w:szCs w:val="24"/>
                <w:lang w:val="en-US" w:eastAsia="en-GB"/>
              </w:rPr>
              <w:t>RAG Status</w:t>
            </w:r>
            <w:r w:rsidRPr="00CC7685">
              <w:rPr>
                <w:rFonts w:cs="Arial"/>
                <w:szCs w:val="24"/>
                <w:lang w:eastAsia="en-GB"/>
              </w:rPr>
              <w:t> </w:t>
            </w:r>
          </w:p>
        </w:tc>
      </w:tr>
      <w:tr w:rsidR="00CC7685" w:rsidRPr="00CC7685" w14:paraId="05E632A5" w14:textId="77777777" w:rsidTr="00055DA1">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099D15C" w14:textId="45C2C40B" w:rsidR="00CC7685" w:rsidRPr="00CC7685" w:rsidRDefault="008F75CE" w:rsidP="00055DA1">
            <w:pPr>
              <w:ind w:left="127" w:right="297"/>
              <w:jc w:val="both"/>
              <w:textAlignment w:val="baseline"/>
              <w:rPr>
                <w:rFonts w:ascii="Times New Roman" w:hAnsi="Times New Roman"/>
                <w:szCs w:val="24"/>
                <w:lang w:eastAsia="en-GB"/>
              </w:rPr>
            </w:pPr>
            <w:r>
              <w:rPr>
                <w:rFonts w:cs="Arial"/>
                <w:szCs w:val="24"/>
                <w:lang w:eastAsia="en-GB"/>
              </w:rPr>
              <w:t xml:space="preserve">Failure to determine </w:t>
            </w:r>
            <w:r w:rsidR="0023463A">
              <w:rPr>
                <w:rFonts w:cs="Arial"/>
                <w:szCs w:val="24"/>
                <w:lang w:eastAsia="en-GB"/>
              </w:rPr>
              <w:t xml:space="preserve">the application for a new premises licence </w:t>
            </w:r>
            <w:r>
              <w:rPr>
                <w:rFonts w:cs="Arial"/>
                <w:szCs w:val="24"/>
                <w:lang w:eastAsia="en-GB"/>
              </w:rPr>
              <w:t>would put the Licensing Authority in breach of its obligations under the Licensing Act 2003</w:t>
            </w:r>
            <w:r w:rsidR="0036260C">
              <w:rPr>
                <w:rFonts w:cs="Arial"/>
                <w:szCs w:val="24"/>
                <w:lang w:eastAsia="en-GB"/>
              </w:rPr>
              <w:t xml:space="preserve"> and the Licensing Act </w:t>
            </w:r>
            <w:r w:rsidR="001B4DB8">
              <w:rPr>
                <w:rFonts w:cs="Arial"/>
                <w:szCs w:val="24"/>
                <w:lang w:eastAsia="en-GB"/>
              </w:rPr>
              <w:t>2003 (Hearings) Regulations 2005.</w:t>
            </w:r>
          </w:p>
        </w:tc>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48018579" w14:textId="6280A633" w:rsidR="00CC7685" w:rsidRPr="00CC7685" w:rsidRDefault="0023463A" w:rsidP="00055DA1">
            <w:pPr>
              <w:ind w:right="340"/>
              <w:jc w:val="both"/>
              <w:textAlignment w:val="baseline"/>
              <w:rPr>
                <w:rFonts w:cs="Arial"/>
                <w:szCs w:val="24"/>
                <w:lang w:eastAsia="en-GB"/>
              </w:rPr>
            </w:pPr>
            <w:r>
              <w:rPr>
                <w:rFonts w:cs="Arial"/>
                <w:szCs w:val="24"/>
                <w:lang w:val="en-US" w:eastAsia="en-GB"/>
              </w:rPr>
              <w:t xml:space="preserve">The Authority must determine this </w:t>
            </w:r>
            <w:r w:rsidR="001B4DB8">
              <w:rPr>
                <w:rFonts w:cs="Arial"/>
                <w:szCs w:val="24"/>
                <w:lang w:val="en-US" w:eastAsia="en-GB"/>
              </w:rPr>
              <w:t xml:space="preserve">application </w:t>
            </w:r>
            <w:r>
              <w:rPr>
                <w:rFonts w:cs="Arial"/>
                <w:szCs w:val="24"/>
                <w:lang w:val="en-US" w:eastAsia="en-GB"/>
              </w:rPr>
              <w:t>within the timescales set by prescribed regulations </w:t>
            </w:r>
            <w:r w:rsidR="00CC7685" w:rsidRPr="00CC7685">
              <w:rPr>
                <w:rFonts w:cs="Arial"/>
                <w:szCs w:val="24"/>
                <w:lang w:eastAsia="en-GB"/>
              </w:rPr>
              <w:t> </w:t>
            </w:r>
          </w:p>
          <w:p w14:paraId="7D6A3EA2" w14:textId="77777777" w:rsidR="00CC7685" w:rsidRPr="00CC7685" w:rsidRDefault="00CC7685" w:rsidP="001E1C43">
            <w:pPr>
              <w:jc w:val="both"/>
              <w:textAlignment w:val="baseline"/>
              <w:rPr>
                <w:rFonts w:cs="Arial"/>
                <w:szCs w:val="24"/>
                <w:lang w:eastAsia="en-GB"/>
              </w:rPr>
            </w:pPr>
            <w:r w:rsidRPr="00CC7685">
              <w:rPr>
                <w:rFonts w:cs="Arial"/>
                <w:szCs w:val="24"/>
                <w:lang w:val="en-US" w:eastAsia="en-GB"/>
              </w:rPr>
              <w:t> </w:t>
            </w:r>
            <w:r w:rsidRPr="00CC7685">
              <w:rPr>
                <w:rFonts w:cs="Arial"/>
                <w:szCs w:val="24"/>
                <w:lang w:eastAsia="en-GB"/>
              </w:rPr>
              <w:t> </w:t>
            </w:r>
          </w:p>
          <w:p w14:paraId="6FF1B839" w14:textId="2BFE53B6" w:rsidR="00CC7685" w:rsidRPr="00CC7685" w:rsidRDefault="00CC7685" w:rsidP="001E1C43">
            <w:pPr>
              <w:ind w:left="360"/>
              <w:jc w:val="both"/>
              <w:textAlignment w:val="baseline"/>
              <w:rPr>
                <w:rFonts w:cs="Arial"/>
                <w:szCs w:val="24"/>
                <w:lang w:eastAsia="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20D5E43" w14:textId="77777777" w:rsidR="00CC7685" w:rsidRPr="00CC7685" w:rsidRDefault="00CC7685" w:rsidP="001E1C43">
            <w:pPr>
              <w:jc w:val="both"/>
              <w:textAlignment w:val="baseline"/>
              <w:rPr>
                <w:rFonts w:ascii="Times New Roman" w:hAnsi="Times New Roman"/>
                <w:szCs w:val="24"/>
                <w:lang w:eastAsia="en-GB"/>
              </w:rPr>
            </w:pPr>
            <w:r w:rsidRPr="00CC7685">
              <w:rPr>
                <w:rFonts w:cs="Arial"/>
                <w:szCs w:val="24"/>
                <w:lang w:val="en-US" w:eastAsia="en-GB"/>
              </w:rPr>
              <w:t>Green</w:t>
            </w:r>
            <w:r w:rsidRPr="00CC7685">
              <w:rPr>
                <w:rFonts w:cs="Arial"/>
                <w:szCs w:val="24"/>
                <w:lang w:eastAsia="en-GB"/>
              </w:rPr>
              <w:t> </w:t>
            </w:r>
          </w:p>
        </w:tc>
      </w:tr>
    </w:tbl>
    <w:p w14:paraId="66E5D0C9" w14:textId="77777777" w:rsidR="006A233E" w:rsidRDefault="006A233E" w:rsidP="001E1C43">
      <w:pPr>
        <w:pStyle w:val="Heading2"/>
        <w:jc w:val="both"/>
      </w:pPr>
      <w:r>
        <w:t>Section 3 - Statutory Officer Clearance</w:t>
      </w:r>
    </w:p>
    <w:p w14:paraId="050F32BF" w14:textId="354C1652" w:rsidR="00C92100" w:rsidRPr="00A66326" w:rsidRDefault="00C92100" w:rsidP="001E1C43">
      <w:pPr>
        <w:jc w:val="both"/>
        <w:rPr>
          <w:sz w:val="28"/>
        </w:rPr>
      </w:pPr>
      <w:r w:rsidRPr="00A66326">
        <w:rPr>
          <w:b/>
          <w:sz w:val="28"/>
        </w:rPr>
        <w:t xml:space="preserve">Statutory Officer: </w:t>
      </w:r>
      <w:r w:rsidRPr="00805C44">
        <w:rPr>
          <w:b/>
          <w:sz w:val="28"/>
        </w:rPr>
        <w:t xml:space="preserve"> </w:t>
      </w:r>
      <w:r w:rsidR="00805C44" w:rsidRPr="00805C44">
        <w:rPr>
          <w:b/>
          <w:sz w:val="28"/>
        </w:rPr>
        <w:t>Comie Campbell</w:t>
      </w:r>
    </w:p>
    <w:p w14:paraId="331A7479" w14:textId="29DC2506" w:rsidR="00C92100" w:rsidRPr="00A66326" w:rsidRDefault="00C92100" w:rsidP="001E1C43">
      <w:pPr>
        <w:jc w:val="both"/>
      </w:pPr>
      <w:r w:rsidRPr="00A66326">
        <w:t>Signed on behalf of the Chief Financial Officer</w:t>
      </w:r>
    </w:p>
    <w:p w14:paraId="5C023D35" w14:textId="0BE12E5D" w:rsidR="00C92100" w:rsidRPr="00805C44" w:rsidRDefault="00C92100" w:rsidP="001E1C43">
      <w:pPr>
        <w:spacing w:after="480"/>
        <w:jc w:val="both"/>
        <w:rPr>
          <w:sz w:val="28"/>
        </w:rPr>
      </w:pPr>
      <w:r w:rsidRPr="00A66326">
        <w:rPr>
          <w:b/>
          <w:sz w:val="28"/>
        </w:rPr>
        <w:t xml:space="preserve">Date: </w:t>
      </w:r>
      <w:r w:rsidR="00995B2E">
        <w:rPr>
          <w:b/>
          <w:sz w:val="28"/>
        </w:rPr>
        <w:t xml:space="preserve"> </w:t>
      </w:r>
      <w:r w:rsidR="00805C44" w:rsidRPr="00805C44">
        <w:rPr>
          <w:b/>
          <w:sz w:val="28"/>
        </w:rPr>
        <w:t>26/01/2024</w:t>
      </w:r>
    </w:p>
    <w:p w14:paraId="5CF2F0CB" w14:textId="0AD4CFAA" w:rsidR="00C92100" w:rsidRPr="00A66326" w:rsidRDefault="00C92100" w:rsidP="001E1C43">
      <w:pPr>
        <w:jc w:val="both"/>
        <w:rPr>
          <w:sz w:val="28"/>
        </w:rPr>
      </w:pPr>
      <w:r w:rsidRPr="00A66326">
        <w:rPr>
          <w:b/>
          <w:sz w:val="28"/>
        </w:rPr>
        <w:lastRenderedPageBreak/>
        <w:t xml:space="preserve">Statutory Officer:  </w:t>
      </w:r>
      <w:r w:rsidR="009D7C9A">
        <w:rPr>
          <w:b/>
          <w:sz w:val="28"/>
        </w:rPr>
        <w:t>Baljeet Virdee</w:t>
      </w:r>
    </w:p>
    <w:p w14:paraId="6F0C9414" w14:textId="77777777" w:rsidR="00C92100" w:rsidRPr="00A66326" w:rsidRDefault="00C92100" w:rsidP="001E1C43">
      <w:pPr>
        <w:jc w:val="both"/>
      </w:pPr>
      <w:r w:rsidRPr="00A66326">
        <w:t>Signed on *behalf of/</w:t>
      </w:r>
      <w:r w:rsidRPr="00B9099B">
        <w:rPr>
          <w:strike/>
        </w:rPr>
        <w:t>by</w:t>
      </w:r>
      <w:r w:rsidRPr="00A66326">
        <w:t xml:space="preserve"> the Monitoring Officer</w:t>
      </w:r>
    </w:p>
    <w:p w14:paraId="3448F739" w14:textId="77777777" w:rsidR="00C92100" w:rsidRPr="00A66326" w:rsidRDefault="00C92100" w:rsidP="001E1C43">
      <w:pPr>
        <w:jc w:val="both"/>
        <w:rPr>
          <w:sz w:val="28"/>
        </w:rPr>
      </w:pPr>
    </w:p>
    <w:p w14:paraId="6E4119ED" w14:textId="212F5CF0" w:rsidR="00C92100" w:rsidRPr="003313EA" w:rsidRDefault="00C92100" w:rsidP="001E1C43">
      <w:pPr>
        <w:spacing w:after="480"/>
        <w:jc w:val="both"/>
        <w:rPr>
          <w:sz w:val="28"/>
        </w:rPr>
      </w:pPr>
      <w:r w:rsidRPr="00A66326">
        <w:rPr>
          <w:b/>
          <w:sz w:val="28"/>
        </w:rPr>
        <w:t xml:space="preserve">Date: </w:t>
      </w:r>
      <w:r w:rsidR="009D7C9A">
        <w:rPr>
          <w:b/>
          <w:color w:val="FF0000"/>
          <w:sz w:val="28"/>
        </w:rPr>
        <w:t>02 February 2024</w:t>
      </w:r>
    </w:p>
    <w:p w14:paraId="528C793B" w14:textId="579294B6" w:rsidR="00C92100" w:rsidRPr="00A66326" w:rsidRDefault="00674015" w:rsidP="001E1C43">
      <w:pPr>
        <w:jc w:val="both"/>
        <w:rPr>
          <w:sz w:val="28"/>
        </w:rPr>
      </w:pPr>
      <w:r>
        <w:rPr>
          <w:b/>
          <w:sz w:val="28"/>
        </w:rPr>
        <w:t>Chief</w:t>
      </w:r>
      <w:r w:rsidR="00C92100" w:rsidRPr="00A66326">
        <w:rPr>
          <w:b/>
          <w:sz w:val="28"/>
        </w:rPr>
        <w:t xml:space="preserve"> Officer: </w:t>
      </w:r>
      <w:r w:rsidR="00B9099B">
        <w:rPr>
          <w:b/>
          <w:sz w:val="28"/>
        </w:rPr>
        <w:t>Cathy Knubley</w:t>
      </w:r>
      <w:r w:rsidR="00C92100" w:rsidRPr="00A66326">
        <w:rPr>
          <w:b/>
          <w:sz w:val="28"/>
        </w:rPr>
        <w:t xml:space="preserve"> </w:t>
      </w:r>
    </w:p>
    <w:p w14:paraId="7213A811" w14:textId="07D12381" w:rsidR="00C92100" w:rsidRPr="00A66326" w:rsidRDefault="002A5C38" w:rsidP="001E1C43">
      <w:pPr>
        <w:jc w:val="both"/>
      </w:pPr>
      <w:r>
        <w:t xml:space="preserve">Signed </w:t>
      </w:r>
      <w:r w:rsidR="00F80A73">
        <w:t>on behalf of</w:t>
      </w:r>
      <w:r w:rsidR="00C92100" w:rsidRPr="00A66326">
        <w:t xml:space="preserve"> the </w:t>
      </w:r>
      <w:r w:rsidR="00F80A73">
        <w:t xml:space="preserve">Corporate </w:t>
      </w:r>
      <w:r w:rsidR="00B9099B">
        <w:t xml:space="preserve">Director </w:t>
      </w:r>
    </w:p>
    <w:p w14:paraId="772399FF" w14:textId="77777777" w:rsidR="00C92100" w:rsidRPr="00A66326" w:rsidRDefault="00C92100" w:rsidP="001E1C43">
      <w:pPr>
        <w:jc w:val="both"/>
        <w:rPr>
          <w:sz w:val="28"/>
        </w:rPr>
      </w:pPr>
    </w:p>
    <w:p w14:paraId="46211801" w14:textId="28A11921" w:rsidR="007279AD" w:rsidRDefault="007279AD" w:rsidP="001E1C43">
      <w:pPr>
        <w:spacing w:after="480"/>
        <w:jc w:val="both"/>
        <w:rPr>
          <w:b/>
          <w:sz w:val="28"/>
        </w:rPr>
      </w:pPr>
      <w:r>
        <w:rPr>
          <w:noProof/>
        </w:rPr>
        <mc:AlternateContent>
          <mc:Choice Requires="wpi">
            <w:drawing>
              <wp:anchor distT="0" distB="0" distL="114300" distR="114300" simplePos="0" relativeHeight="251661312" behindDoc="0" locked="0" layoutInCell="1" allowOverlap="1" wp14:anchorId="50F3D7F9" wp14:editId="474DE2A0">
                <wp:simplePos x="0" y="0"/>
                <wp:positionH relativeFrom="margin">
                  <wp:align>left</wp:align>
                </wp:positionH>
                <wp:positionV relativeFrom="paragraph">
                  <wp:posOffset>-67945</wp:posOffset>
                </wp:positionV>
                <wp:extent cx="755650" cy="854075"/>
                <wp:effectExtent l="38100" t="38100" r="0" b="4127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755650" cy="854075"/>
                      </w14:xfrm>
                    </w14:contentPart>
                  </a:graphicData>
                </a:graphic>
                <wp14:sizeRelH relativeFrom="margin">
                  <wp14:pctWidth>0</wp14:pctWidth>
                </wp14:sizeRelH>
                <wp14:sizeRelV relativeFrom="margin">
                  <wp14:pctHeight>0</wp14:pctHeight>
                </wp14:sizeRelV>
              </wp:anchor>
            </w:drawing>
          </mc:Choice>
          <mc:Fallback>
            <w:pict>
              <v:shapetype w14:anchorId="5747A7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0;margin-top:-6.05pt;width:60.9pt;height:68.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">
                <v:imagedata r:id="rId12" o:title=""/>
                <w10:wrap anchorx="margin"/>
              </v:shape>
            </w:pict>
          </mc:Fallback>
        </mc:AlternateContent>
      </w:r>
    </w:p>
    <w:p w14:paraId="40D55358" w14:textId="09C7FF12" w:rsidR="007279AD" w:rsidRDefault="007279AD" w:rsidP="001E1C43">
      <w:pPr>
        <w:spacing w:after="480"/>
        <w:jc w:val="both"/>
        <w:rPr>
          <w:b/>
          <w:sz w:val="28"/>
        </w:rPr>
      </w:pPr>
    </w:p>
    <w:p w14:paraId="2BD7B55D" w14:textId="6BBAC5FF" w:rsidR="00C92100" w:rsidRPr="00A66326" w:rsidRDefault="00C92100" w:rsidP="001E1C43">
      <w:pPr>
        <w:spacing w:after="480"/>
        <w:jc w:val="both"/>
        <w:rPr>
          <w:sz w:val="28"/>
        </w:rPr>
      </w:pPr>
      <w:r w:rsidRPr="00A66326">
        <w:rPr>
          <w:b/>
          <w:sz w:val="28"/>
        </w:rPr>
        <w:t xml:space="preserve">Date: </w:t>
      </w:r>
      <w:r w:rsidR="00A0658E">
        <w:rPr>
          <w:b/>
          <w:sz w:val="28"/>
        </w:rPr>
        <w:t>29 January 2024</w:t>
      </w:r>
    </w:p>
    <w:p w14:paraId="0D556FA7" w14:textId="77777777" w:rsidR="00C92100" w:rsidRPr="00435B5D" w:rsidRDefault="00C92100" w:rsidP="001E1C43">
      <w:pPr>
        <w:pStyle w:val="Heading2"/>
        <w:spacing w:after="240"/>
        <w:jc w:val="both"/>
      </w:pPr>
      <w:r>
        <w:t>Mandatory Checks</w:t>
      </w:r>
    </w:p>
    <w:p w14:paraId="46311F9E" w14:textId="77777777" w:rsidR="00772582" w:rsidRDefault="00C92100" w:rsidP="00772582">
      <w:pPr>
        <w:pStyle w:val="Heading3"/>
      </w:pPr>
      <w:r w:rsidRPr="003313EA">
        <w:t xml:space="preserve">Ward Councillors </w:t>
      </w:r>
      <w:r>
        <w:t xml:space="preserve">notified: </w:t>
      </w:r>
    </w:p>
    <w:p w14:paraId="0BB527BC" w14:textId="0C12BEDF" w:rsidR="006A233E" w:rsidRDefault="006A233E" w:rsidP="00772582">
      <w:pPr>
        <w:pStyle w:val="Heading3"/>
      </w:pPr>
      <w:r>
        <w:t>Section 4 - Contact Details and Background Papers</w:t>
      </w:r>
    </w:p>
    <w:p w14:paraId="3FC1FE7C" w14:textId="5955D479" w:rsidR="002A5C38" w:rsidRPr="002A5C38" w:rsidRDefault="002A5C38" w:rsidP="001E1C43">
      <w:pPr>
        <w:pStyle w:val="Infotext"/>
        <w:spacing w:before="240" w:after="240"/>
        <w:jc w:val="both"/>
      </w:pPr>
      <w:r w:rsidRPr="002A5C38">
        <w:rPr>
          <w:b/>
        </w:rPr>
        <w:t>Contact:</w:t>
      </w:r>
      <w:r w:rsidR="00055DA1">
        <w:rPr>
          <w:b/>
        </w:rPr>
        <w:t xml:space="preserve"> </w:t>
      </w:r>
      <w:r w:rsidR="00F80A73">
        <w:t>Alan</w:t>
      </w:r>
      <w:r w:rsidR="00DC50D8">
        <w:t xml:space="preserve"> </w:t>
      </w:r>
      <w:r w:rsidR="00F80A73">
        <w:t>Riley</w:t>
      </w:r>
      <w:r w:rsidR="00DC50D8">
        <w:t>, Enforcement Officer.</w:t>
      </w:r>
      <w:r w:rsidR="00DC50D8" w:rsidRPr="00DC50D8">
        <w:t xml:space="preserve"> </w:t>
      </w:r>
      <w:r w:rsidR="00055DA1">
        <w:t>A</w:t>
      </w:r>
      <w:r w:rsidR="00F80A73">
        <w:t>lan.</w:t>
      </w:r>
      <w:r w:rsidR="00055DA1">
        <w:t>R</w:t>
      </w:r>
      <w:r w:rsidR="00F80A73">
        <w:t>iley</w:t>
      </w:r>
      <w:r w:rsidR="0023463A" w:rsidRPr="0023463A">
        <w:t>@harrow.gov.uk</w:t>
      </w:r>
    </w:p>
    <w:p w14:paraId="462EDE40" w14:textId="73603EDC" w:rsidR="0023463A" w:rsidRDefault="002A5C38" w:rsidP="001E1C43">
      <w:pPr>
        <w:pStyle w:val="Infotext"/>
        <w:spacing w:before="240" w:after="240"/>
        <w:jc w:val="both"/>
        <w:rPr>
          <w:b/>
        </w:rPr>
      </w:pPr>
      <w:r w:rsidRPr="002A5C38">
        <w:rPr>
          <w:b/>
        </w:rPr>
        <w:t xml:space="preserve">Background Papers:  </w:t>
      </w:r>
      <w:r w:rsidR="0023463A" w:rsidRPr="00DF61E1">
        <w:rPr>
          <w:b/>
        </w:rPr>
        <w:t>Background Papers: Licensing Act 2003 Statutory Guidance (issued December 202</w:t>
      </w:r>
      <w:r w:rsidR="00F80A73">
        <w:rPr>
          <w:b/>
        </w:rPr>
        <w:t>3</w:t>
      </w:r>
      <w:r w:rsidR="0023463A" w:rsidRPr="00DF61E1">
        <w:rPr>
          <w:b/>
        </w:rPr>
        <w:t>).</w:t>
      </w:r>
    </w:p>
    <w:p w14:paraId="4F0B0613" w14:textId="373C0BE1" w:rsidR="00AC72F0" w:rsidRDefault="0058530E" w:rsidP="001E1C43">
      <w:pPr>
        <w:pStyle w:val="Infotext"/>
        <w:spacing w:before="240" w:after="240"/>
        <w:jc w:val="both"/>
        <w:rPr>
          <w:b/>
        </w:rPr>
      </w:pPr>
      <w:hyperlink r:id="rId13" w:history="1">
        <w:r w:rsidR="00F80A73">
          <w:rPr>
            <w:rStyle w:val="Hyperlink"/>
          </w:rPr>
          <w:t>Revised_guidance_issued_under_section_182_of_the_Licensing_Act_2003_-_December_2023.pdf (publishing.service.gov.uk)</w:t>
        </w:r>
      </w:hyperlink>
    </w:p>
    <w:p w14:paraId="6535BB89" w14:textId="141FD94A" w:rsidR="00AC72F0" w:rsidRDefault="00AC72F0" w:rsidP="001E1C43">
      <w:pPr>
        <w:pStyle w:val="Infotext"/>
        <w:spacing w:before="240" w:after="240"/>
        <w:jc w:val="both"/>
        <w:rPr>
          <w:b/>
        </w:rPr>
      </w:pPr>
      <w:r>
        <w:rPr>
          <w:b/>
        </w:rPr>
        <w:t xml:space="preserve">London Borough of Harrow – Statement of </w:t>
      </w:r>
      <w:r w:rsidR="00A57F94">
        <w:rPr>
          <w:b/>
        </w:rPr>
        <w:t>Licensing</w:t>
      </w:r>
      <w:r>
        <w:rPr>
          <w:b/>
        </w:rPr>
        <w:t xml:space="preserve"> Policy</w:t>
      </w:r>
    </w:p>
    <w:p w14:paraId="32C5C3F1" w14:textId="6FB80BE1" w:rsidR="00AC72F0" w:rsidRDefault="0058530E" w:rsidP="001E1C43">
      <w:pPr>
        <w:pStyle w:val="Infotext"/>
        <w:spacing w:before="240" w:after="240"/>
        <w:jc w:val="both"/>
      </w:pPr>
      <w:hyperlink r:id="rId14" w:history="1">
        <w:r w:rsidR="00DC50D8" w:rsidRPr="0099700C">
          <w:rPr>
            <w:rStyle w:val="Hyperlink"/>
          </w:rPr>
          <w:t>https://www.harrow.gov.uk/downloads/file/23077/statement-of-licensing-policy-2016-2023</w:t>
        </w:r>
      </w:hyperlink>
      <w:r w:rsidR="00DC50D8">
        <w:t xml:space="preserve"> </w:t>
      </w:r>
      <w:r w:rsidR="00DC50D8" w:rsidRPr="00DC50D8">
        <w:t xml:space="preserve">. </w:t>
      </w:r>
    </w:p>
    <w:p w14:paraId="1BA79956" w14:textId="77777777" w:rsidR="00DC50D8" w:rsidRPr="00DF61E1" w:rsidRDefault="00DC50D8" w:rsidP="001E1C43">
      <w:pPr>
        <w:pStyle w:val="Infotext"/>
        <w:spacing w:before="240" w:after="240"/>
        <w:jc w:val="both"/>
        <w:rPr>
          <w:b/>
        </w:rPr>
      </w:pPr>
    </w:p>
    <w:p w14:paraId="104CB4D0" w14:textId="0F111C0A" w:rsidR="00E56EC8" w:rsidRPr="002A5C38" w:rsidRDefault="002A5C38" w:rsidP="001E1C43">
      <w:pPr>
        <w:pStyle w:val="Infotext"/>
        <w:jc w:val="both"/>
        <w:rPr>
          <w:b/>
        </w:rPr>
      </w:pPr>
      <w:r w:rsidRPr="002A5C38">
        <w:t>.</w:t>
      </w:r>
    </w:p>
    <w:sectPr w:rsidR="00E56EC8" w:rsidRPr="002A5C38" w:rsidSect="007563D9">
      <w:footerReference w:type="default" r:id="rId15"/>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689C" w14:textId="77777777" w:rsidR="00701C19" w:rsidRDefault="00701C19">
      <w:r>
        <w:separator/>
      </w:r>
    </w:p>
  </w:endnote>
  <w:endnote w:type="continuationSeparator" w:id="0">
    <w:p w14:paraId="29CD41F5" w14:textId="77777777" w:rsidR="00701C19" w:rsidRDefault="0070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43621"/>
      <w:docPartObj>
        <w:docPartGallery w:val="Page Numbers (Bottom of Page)"/>
        <w:docPartUnique/>
      </w:docPartObj>
    </w:sdtPr>
    <w:sdtEndPr>
      <w:rPr>
        <w:noProof/>
      </w:rPr>
    </w:sdtEndPr>
    <w:sdtContent>
      <w:p w14:paraId="4923C81F" w14:textId="727C42BF" w:rsidR="003750A5" w:rsidRDefault="00375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5239D" w14:textId="77777777" w:rsidR="003750A5" w:rsidRDefault="0037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54BF" w14:textId="77777777" w:rsidR="00701C19" w:rsidRDefault="00701C19">
      <w:r>
        <w:separator/>
      </w:r>
    </w:p>
  </w:footnote>
  <w:footnote w:type="continuationSeparator" w:id="0">
    <w:p w14:paraId="0D254DA1" w14:textId="77777777" w:rsidR="00701C19" w:rsidRDefault="0070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E0"/>
    <w:multiLevelType w:val="multilevel"/>
    <w:tmpl w:val="0D8893F4"/>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52AF"/>
    <w:multiLevelType w:val="hybridMultilevel"/>
    <w:tmpl w:val="ED9C374E"/>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85DB3"/>
    <w:multiLevelType w:val="multilevel"/>
    <w:tmpl w:val="C94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6E7A8E"/>
    <w:multiLevelType w:val="hybridMultilevel"/>
    <w:tmpl w:val="BCC2D17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91FE3"/>
    <w:multiLevelType w:val="multilevel"/>
    <w:tmpl w:val="F6DAA9A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A17808"/>
    <w:multiLevelType w:val="multilevel"/>
    <w:tmpl w:val="444C95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3363813"/>
    <w:multiLevelType w:val="multilevel"/>
    <w:tmpl w:val="A044FEF6"/>
    <w:lvl w:ilvl="0">
      <w:start w:val="4"/>
      <w:numFmt w:val="decimal"/>
      <w:lvlText w:val="%1."/>
      <w:lvlJc w:val="left"/>
      <w:pPr>
        <w:ind w:left="502" w:hanging="360"/>
      </w:pPr>
      <w:rPr>
        <w:rFonts w:hint="default"/>
      </w:rPr>
    </w:lvl>
    <w:lvl w:ilvl="1">
      <w:start w:val="4"/>
      <w:numFmt w:val="decimal"/>
      <w:isLgl/>
      <w:lvlText w:val="%1.%2"/>
      <w:lvlJc w:val="left"/>
      <w:pPr>
        <w:ind w:left="570"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45395B8E"/>
    <w:multiLevelType w:val="hybridMultilevel"/>
    <w:tmpl w:val="4B4E4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8671D"/>
    <w:multiLevelType w:val="hybridMultilevel"/>
    <w:tmpl w:val="1102D8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6865BE"/>
    <w:multiLevelType w:val="multilevel"/>
    <w:tmpl w:val="074EA846"/>
    <w:lvl w:ilvl="0">
      <w:start w:val="2"/>
      <w:numFmt w:val="decimal"/>
      <w:lvlText w:val="%1"/>
      <w:lvlJc w:val="left"/>
      <w:pPr>
        <w:ind w:left="502"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AF01C0"/>
    <w:multiLevelType w:val="hybridMultilevel"/>
    <w:tmpl w:val="A0A42A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E0539"/>
    <w:multiLevelType w:val="hybridMultilevel"/>
    <w:tmpl w:val="748A50DA"/>
    <w:lvl w:ilvl="0" w:tplc="19680762">
      <w:start w:val="2"/>
      <w:numFmt w:val="lowerRoman"/>
      <w:lvlText w:val="(%1)"/>
      <w:lvlJc w:val="left"/>
      <w:pPr>
        <w:ind w:left="2939" w:hanging="720"/>
      </w:pPr>
      <w:rPr>
        <w:rFonts w:hint="default"/>
      </w:rPr>
    </w:lvl>
    <w:lvl w:ilvl="1" w:tplc="08090019" w:tentative="1">
      <w:start w:val="1"/>
      <w:numFmt w:val="lowerLetter"/>
      <w:lvlText w:val="%2."/>
      <w:lvlJc w:val="left"/>
      <w:pPr>
        <w:ind w:left="3299" w:hanging="360"/>
      </w:pPr>
    </w:lvl>
    <w:lvl w:ilvl="2" w:tplc="0809001B" w:tentative="1">
      <w:start w:val="1"/>
      <w:numFmt w:val="lowerRoman"/>
      <w:lvlText w:val="%3."/>
      <w:lvlJc w:val="right"/>
      <w:pPr>
        <w:ind w:left="4019" w:hanging="180"/>
      </w:pPr>
    </w:lvl>
    <w:lvl w:ilvl="3" w:tplc="0809000F" w:tentative="1">
      <w:start w:val="1"/>
      <w:numFmt w:val="decimal"/>
      <w:lvlText w:val="%4."/>
      <w:lvlJc w:val="left"/>
      <w:pPr>
        <w:ind w:left="4739" w:hanging="360"/>
      </w:pPr>
    </w:lvl>
    <w:lvl w:ilvl="4" w:tplc="08090019" w:tentative="1">
      <w:start w:val="1"/>
      <w:numFmt w:val="lowerLetter"/>
      <w:lvlText w:val="%5."/>
      <w:lvlJc w:val="left"/>
      <w:pPr>
        <w:ind w:left="5459" w:hanging="360"/>
      </w:pPr>
    </w:lvl>
    <w:lvl w:ilvl="5" w:tplc="0809001B" w:tentative="1">
      <w:start w:val="1"/>
      <w:numFmt w:val="lowerRoman"/>
      <w:lvlText w:val="%6."/>
      <w:lvlJc w:val="right"/>
      <w:pPr>
        <w:ind w:left="6179" w:hanging="180"/>
      </w:pPr>
    </w:lvl>
    <w:lvl w:ilvl="6" w:tplc="0809000F" w:tentative="1">
      <w:start w:val="1"/>
      <w:numFmt w:val="decimal"/>
      <w:lvlText w:val="%7."/>
      <w:lvlJc w:val="left"/>
      <w:pPr>
        <w:ind w:left="6899" w:hanging="360"/>
      </w:pPr>
    </w:lvl>
    <w:lvl w:ilvl="7" w:tplc="08090019" w:tentative="1">
      <w:start w:val="1"/>
      <w:numFmt w:val="lowerLetter"/>
      <w:lvlText w:val="%8."/>
      <w:lvlJc w:val="left"/>
      <w:pPr>
        <w:ind w:left="7619" w:hanging="360"/>
      </w:pPr>
    </w:lvl>
    <w:lvl w:ilvl="8" w:tplc="0809001B" w:tentative="1">
      <w:start w:val="1"/>
      <w:numFmt w:val="lowerRoman"/>
      <w:lvlText w:val="%9."/>
      <w:lvlJc w:val="right"/>
      <w:pPr>
        <w:ind w:left="8339" w:hanging="180"/>
      </w:pPr>
    </w:lvl>
  </w:abstractNum>
  <w:abstractNum w:abstractNumId="20" w15:restartNumberingAfterBreak="0">
    <w:nsid w:val="586B43E6"/>
    <w:multiLevelType w:val="multilevel"/>
    <w:tmpl w:val="2E5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F1EA9"/>
    <w:multiLevelType w:val="hybridMultilevel"/>
    <w:tmpl w:val="F780B4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DDC0E83"/>
    <w:multiLevelType w:val="multilevel"/>
    <w:tmpl w:val="CD4C7EE4"/>
    <w:lvl w:ilvl="0">
      <w:start w:val="2"/>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601763"/>
    <w:multiLevelType w:val="hybridMultilevel"/>
    <w:tmpl w:val="5B288E3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4236F"/>
    <w:multiLevelType w:val="hybridMultilevel"/>
    <w:tmpl w:val="3C5CF0C4"/>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031DD"/>
    <w:multiLevelType w:val="multilevel"/>
    <w:tmpl w:val="6264F526"/>
    <w:lvl w:ilvl="0">
      <w:start w:val="2"/>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B61FC1"/>
    <w:multiLevelType w:val="multilevel"/>
    <w:tmpl w:val="0D8893F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25C01"/>
    <w:multiLevelType w:val="multilevel"/>
    <w:tmpl w:val="D2E889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4F7571"/>
    <w:multiLevelType w:val="hybridMultilevel"/>
    <w:tmpl w:val="8CCE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D3128D"/>
    <w:multiLevelType w:val="multilevel"/>
    <w:tmpl w:val="AB72A096"/>
    <w:lvl w:ilvl="0">
      <w:start w:val="2"/>
      <w:numFmt w:val="decimal"/>
      <w:lvlText w:val="%1"/>
      <w:lvlJc w:val="left"/>
      <w:pPr>
        <w:ind w:left="460" w:hanging="460"/>
      </w:pPr>
      <w:rPr>
        <w:rFonts w:hint="default"/>
      </w:rPr>
    </w:lvl>
    <w:lvl w:ilvl="1">
      <w:start w:val="1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50319386">
    <w:abstractNumId w:val="24"/>
  </w:num>
  <w:num w:numId="2" w16cid:durableId="1125581292">
    <w:abstractNumId w:val="15"/>
  </w:num>
  <w:num w:numId="3" w16cid:durableId="825248543">
    <w:abstractNumId w:val="1"/>
  </w:num>
  <w:num w:numId="4" w16cid:durableId="1491869289">
    <w:abstractNumId w:val="5"/>
  </w:num>
  <w:num w:numId="5" w16cid:durableId="937057182">
    <w:abstractNumId w:val="30"/>
  </w:num>
  <w:num w:numId="6" w16cid:durableId="1770655983">
    <w:abstractNumId w:val="16"/>
  </w:num>
  <w:num w:numId="7" w16cid:durableId="530647127">
    <w:abstractNumId w:val="9"/>
  </w:num>
  <w:num w:numId="8" w16cid:durableId="589700917">
    <w:abstractNumId w:val="20"/>
  </w:num>
  <w:num w:numId="9" w16cid:durableId="406806244">
    <w:abstractNumId w:val="4"/>
  </w:num>
  <w:num w:numId="10" w16cid:durableId="976691827">
    <w:abstractNumId w:val="12"/>
  </w:num>
  <w:num w:numId="11" w16cid:durableId="1892619416">
    <w:abstractNumId w:val="7"/>
  </w:num>
  <w:num w:numId="12" w16cid:durableId="957370605">
    <w:abstractNumId w:val="23"/>
  </w:num>
  <w:num w:numId="13" w16cid:durableId="166596681">
    <w:abstractNumId w:val="3"/>
  </w:num>
  <w:num w:numId="14" w16cid:durableId="1436822940">
    <w:abstractNumId w:val="25"/>
  </w:num>
  <w:num w:numId="15" w16cid:durableId="883370136">
    <w:abstractNumId w:val="29"/>
  </w:num>
  <w:num w:numId="16" w16cid:durableId="394931242">
    <w:abstractNumId w:val="18"/>
  </w:num>
  <w:num w:numId="17" w16cid:durableId="596057698">
    <w:abstractNumId w:val="2"/>
  </w:num>
  <w:num w:numId="18" w16cid:durableId="1604797315">
    <w:abstractNumId w:val="8"/>
  </w:num>
  <w:num w:numId="19" w16cid:durableId="672731843">
    <w:abstractNumId w:val="28"/>
  </w:num>
  <w:num w:numId="20" w16cid:durableId="1708680165">
    <w:abstractNumId w:val="14"/>
  </w:num>
  <w:num w:numId="21" w16cid:durableId="1740908444">
    <w:abstractNumId w:val="11"/>
  </w:num>
  <w:num w:numId="22" w16cid:durableId="1996031463">
    <w:abstractNumId w:val="19"/>
  </w:num>
  <w:num w:numId="23" w16cid:durableId="1558199705">
    <w:abstractNumId w:val="26"/>
  </w:num>
  <w:num w:numId="24" w16cid:durableId="305402214">
    <w:abstractNumId w:val="6"/>
  </w:num>
  <w:num w:numId="25" w16cid:durableId="1215460638">
    <w:abstractNumId w:val="22"/>
  </w:num>
  <w:num w:numId="26" w16cid:durableId="622343088">
    <w:abstractNumId w:val="31"/>
  </w:num>
  <w:num w:numId="27" w16cid:durableId="882449633">
    <w:abstractNumId w:val="0"/>
  </w:num>
  <w:num w:numId="28" w16cid:durableId="1449010175">
    <w:abstractNumId w:val="27"/>
  </w:num>
  <w:num w:numId="29" w16cid:durableId="1415005737">
    <w:abstractNumId w:val="13"/>
  </w:num>
  <w:num w:numId="30" w16cid:durableId="1218055043">
    <w:abstractNumId w:val="10"/>
  </w:num>
  <w:num w:numId="31" w16cid:durableId="1739478774">
    <w:abstractNumId w:val="21"/>
  </w:num>
  <w:num w:numId="32" w16cid:durableId="1519848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5"/>
    <w:rsid w:val="00012BE9"/>
    <w:rsid w:val="00012D9E"/>
    <w:rsid w:val="00020527"/>
    <w:rsid w:val="0002728A"/>
    <w:rsid w:val="0003241F"/>
    <w:rsid w:val="00034B71"/>
    <w:rsid w:val="000477BD"/>
    <w:rsid w:val="0005340D"/>
    <w:rsid w:val="00055DA1"/>
    <w:rsid w:val="000622B0"/>
    <w:rsid w:val="00065680"/>
    <w:rsid w:val="000731BC"/>
    <w:rsid w:val="00074EB0"/>
    <w:rsid w:val="00083AB9"/>
    <w:rsid w:val="000A30A0"/>
    <w:rsid w:val="000A55A6"/>
    <w:rsid w:val="000B032B"/>
    <w:rsid w:val="000B3E7B"/>
    <w:rsid w:val="000C1BFD"/>
    <w:rsid w:val="000C1C2E"/>
    <w:rsid w:val="000C7C66"/>
    <w:rsid w:val="000D0E14"/>
    <w:rsid w:val="000D6D26"/>
    <w:rsid w:val="000E1138"/>
    <w:rsid w:val="000E6398"/>
    <w:rsid w:val="000F5426"/>
    <w:rsid w:val="001024BB"/>
    <w:rsid w:val="001075CF"/>
    <w:rsid w:val="00111C79"/>
    <w:rsid w:val="001169C0"/>
    <w:rsid w:val="00117FF9"/>
    <w:rsid w:val="00122C99"/>
    <w:rsid w:val="00127B56"/>
    <w:rsid w:val="00130096"/>
    <w:rsid w:val="00130529"/>
    <w:rsid w:val="00131621"/>
    <w:rsid w:val="00134FAD"/>
    <w:rsid w:val="00144C49"/>
    <w:rsid w:val="00146EDE"/>
    <w:rsid w:val="001600E0"/>
    <w:rsid w:val="00167D9B"/>
    <w:rsid w:val="00171186"/>
    <w:rsid w:val="00172786"/>
    <w:rsid w:val="00197E63"/>
    <w:rsid w:val="001B4DB8"/>
    <w:rsid w:val="001B4E31"/>
    <w:rsid w:val="001B6D6E"/>
    <w:rsid w:val="001C2993"/>
    <w:rsid w:val="001D1344"/>
    <w:rsid w:val="001D7C31"/>
    <w:rsid w:val="001E1C43"/>
    <w:rsid w:val="001E3EBC"/>
    <w:rsid w:val="001F7CD7"/>
    <w:rsid w:val="00222613"/>
    <w:rsid w:val="002241AC"/>
    <w:rsid w:val="00226B90"/>
    <w:rsid w:val="0023463A"/>
    <w:rsid w:val="002377CF"/>
    <w:rsid w:val="00251A5B"/>
    <w:rsid w:val="00297D54"/>
    <w:rsid w:val="002A3D29"/>
    <w:rsid w:val="002A50FC"/>
    <w:rsid w:val="002A5C38"/>
    <w:rsid w:val="002B5396"/>
    <w:rsid w:val="002C0FCA"/>
    <w:rsid w:val="002D4A49"/>
    <w:rsid w:val="002D4B55"/>
    <w:rsid w:val="002F3847"/>
    <w:rsid w:val="0030321B"/>
    <w:rsid w:val="003138C1"/>
    <w:rsid w:val="003206FF"/>
    <w:rsid w:val="00330558"/>
    <w:rsid w:val="003341D7"/>
    <w:rsid w:val="00335462"/>
    <w:rsid w:val="00336771"/>
    <w:rsid w:val="003401D5"/>
    <w:rsid w:val="00343B81"/>
    <w:rsid w:val="0036260C"/>
    <w:rsid w:val="00363CA7"/>
    <w:rsid w:val="00365E70"/>
    <w:rsid w:val="0036714E"/>
    <w:rsid w:val="00373570"/>
    <w:rsid w:val="003750A5"/>
    <w:rsid w:val="00393A45"/>
    <w:rsid w:val="00396B0F"/>
    <w:rsid w:val="00397C6F"/>
    <w:rsid w:val="003A15A7"/>
    <w:rsid w:val="003A253A"/>
    <w:rsid w:val="003C1DA8"/>
    <w:rsid w:val="003C64A4"/>
    <w:rsid w:val="003F3C2D"/>
    <w:rsid w:val="003F4751"/>
    <w:rsid w:val="00400012"/>
    <w:rsid w:val="00401CEE"/>
    <w:rsid w:val="00411DC6"/>
    <w:rsid w:val="00412B64"/>
    <w:rsid w:val="00413B44"/>
    <w:rsid w:val="00414D96"/>
    <w:rsid w:val="004323C2"/>
    <w:rsid w:val="00434C60"/>
    <w:rsid w:val="0043773A"/>
    <w:rsid w:val="004572EA"/>
    <w:rsid w:val="00465254"/>
    <w:rsid w:val="00484484"/>
    <w:rsid w:val="00496A90"/>
    <w:rsid w:val="004A1A8F"/>
    <w:rsid w:val="004A707B"/>
    <w:rsid w:val="004B1E2E"/>
    <w:rsid w:val="004B6813"/>
    <w:rsid w:val="004B7FC0"/>
    <w:rsid w:val="004C26AC"/>
    <w:rsid w:val="004E18BF"/>
    <w:rsid w:val="004F1E61"/>
    <w:rsid w:val="004F408B"/>
    <w:rsid w:val="005000BA"/>
    <w:rsid w:val="00506969"/>
    <w:rsid w:val="00506BD9"/>
    <w:rsid w:val="005236A6"/>
    <w:rsid w:val="0053031C"/>
    <w:rsid w:val="005357E2"/>
    <w:rsid w:val="005419BF"/>
    <w:rsid w:val="00546BA4"/>
    <w:rsid w:val="00552B11"/>
    <w:rsid w:val="0056590B"/>
    <w:rsid w:val="00574C48"/>
    <w:rsid w:val="0058530E"/>
    <w:rsid w:val="00587AB5"/>
    <w:rsid w:val="0059692C"/>
    <w:rsid w:val="005A78CA"/>
    <w:rsid w:val="005B4552"/>
    <w:rsid w:val="005C2163"/>
    <w:rsid w:val="005C58BD"/>
    <w:rsid w:val="005E0303"/>
    <w:rsid w:val="005E2F95"/>
    <w:rsid w:val="005F30F2"/>
    <w:rsid w:val="00601BE5"/>
    <w:rsid w:val="00625D40"/>
    <w:rsid w:val="00627995"/>
    <w:rsid w:val="006400EA"/>
    <w:rsid w:val="00645DC0"/>
    <w:rsid w:val="006559E4"/>
    <w:rsid w:val="00656DF7"/>
    <w:rsid w:val="00661755"/>
    <w:rsid w:val="0066400C"/>
    <w:rsid w:val="0066641B"/>
    <w:rsid w:val="0066663E"/>
    <w:rsid w:val="00667CA4"/>
    <w:rsid w:val="0067229E"/>
    <w:rsid w:val="00674015"/>
    <w:rsid w:val="006779BC"/>
    <w:rsid w:val="006900B3"/>
    <w:rsid w:val="006A233E"/>
    <w:rsid w:val="006A3B0F"/>
    <w:rsid w:val="006A7472"/>
    <w:rsid w:val="006D2581"/>
    <w:rsid w:val="006F2F26"/>
    <w:rsid w:val="00701C19"/>
    <w:rsid w:val="00704BF3"/>
    <w:rsid w:val="007134CD"/>
    <w:rsid w:val="00716981"/>
    <w:rsid w:val="00723D95"/>
    <w:rsid w:val="007279AD"/>
    <w:rsid w:val="0074325D"/>
    <w:rsid w:val="0075322E"/>
    <w:rsid w:val="007556FE"/>
    <w:rsid w:val="007563D9"/>
    <w:rsid w:val="00757A95"/>
    <w:rsid w:val="00757EA3"/>
    <w:rsid w:val="00771556"/>
    <w:rsid w:val="00772582"/>
    <w:rsid w:val="00775C0B"/>
    <w:rsid w:val="00781777"/>
    <w:rsid w:val="00782129"/>
    <w:rsid w:val="00783A69"/>
    <w:rsid w:val="00787F5F"/>
    <w:rsid w:val="007940BF"/>
    <w:rsid w:val="00794B4B"/>
    <w:rsid w:val="0079538D"/>
    <w:rsid w:val="007959D0"/>
    <w:rsid w:val="007A1FE9"/>
    <w:rsid w:val="007A2586"/>
    <w:rsid w:val="007A5B5E"/>
    <w:rsid w:val="007B483E"/>
    <w:rsid w:val="007C71D1"/>
    <w:rsid w:val="007D2AB0"/>
    <w:rsid w:val="007E0D43"/>
    <w:rsid w:val="00800679"/>
    <w:rsid w:val="00803E30"/>
    <w:rsid w:val="0080497C"/>
    <w:rsid w:val="00805C44"/>
    <w:rsid w:val="008065D2"/>
    <w:rsid w:val="00807E6D"/>
    <w:rsid w:val="00814DBA"/>
    <w:rsid w:val="00815EE7"/>
    <w:rsid w:val="008165EB"/>
    <w:rsid w:val="00817B28"/>
    <w:rsid w:val="0082332A"/>
    <w:rsid w:val="008243EA"/>
    <w:rsid w:val="008273E6"/>
    <w:rsid w:val="00830B1F"/>
    <w:rsid w:val="00832CC0"/>
    <w:rsid w:val="00837430"/>
    <w:rsid w:val="008574A6"/>
    <w:rsid w:val="008652B2"/>
    <w:rsid w:val="00866152"/>
    <w:rsid w:val="00876186"/>
    <w:rsid w:val="008828D8"/>
    <w:rsid w:val="00886159"/>
    <w:rsid w:val="008A2070"/>
    <w:rsid w:val="008B43DE"/>
    <w:rsid w:val="008B4E8D"/>
    <w:rsid w:val="008C45A2"/>
    <w:rsid w:val="008C5990"/>
    <w:rsid w:val="008F0C6A"/>
    <w:rsid w:val="008F75CE"/>
    <w:rsid w:val="00903100"/>
    <w:rsid w:val="0090474C"/>
    <w:rsid w:val="00906C40"/>
    <w:rsid w:val="00911565"/>
    <w:rsid w:val="00912A0E"/>
    <w:rsid w:val="00926E4D"/>
    <w:rsid w:val="009347ED"/>
    <w:rsid w:val="00942ABC"/>
    <w:rsid w:val="009462B7"/>
    <w:rsid w:val="00946501"/>
    <w:rsid w:val="00946DB7"/>
    <w:rsid w:val="009625DB"/>
    <w:rsid w:val="009635F8"/>
    <w:rsid w:val="0098043B"/>
    <w:rsid w:val="0098767C"/>
    <w:rsid w:val="009876CB"/>
    <w:rsid w:val="00995B2E"/>
    <w:rsid w:val="0099633F"/>
    <w:rsid w:val="009978B7"/>
    <w:rsid w:val="009A12D3"/>
    <w:rsid w:val="009A2875"/>
    <w:rsid w:val="009A3990"/>
    <w:rsid w:val="009C1050"/>
    <w:rsid w:val="009D4B04"/>
    <w:rsid w:val="009D7C9A"/>
    <w:rsid w:val="00A02F7B"/>
    <w:rsid w:val="00A0658E"/>
    <w:rsid w:val="00A06B61"/>
    <w:rsid w:val="00A169FF"/>
    <w:rsid w:val="00A21701"/>
    <w:rsid w:val="00A2249B"/>
    <w:rsid w:val="00A24E1E"/>
    <w:rsid w:val="00A26CB3"/>
    <w:rsid w:val="00A32311"/>
    <w:rsid w:val="00A357CC"/>
    <w:rsid w:val="00A4380F"/>
    <w:rsid w:val="00A54126"/>
    <w:rsid w:val="00A55015"/>
    <w:rsid w:val="00A57F94"/>
    <w:rsid w:val="00A61B77"/>
    <w:rsid w:val="00A62942"/>
    <w:rsid w:val="00A67FC3"/>
    <w:rsid w:val="00A818E8"/>
    <w:rsid w:val="00A95705"/>
    <w:rsid w:val="00AA31BC"/>
    <w:rsid w:val="00AA5045"/>
    <w:rsid w:val="00AA5BC0"/>
    <w:rsid w:val="00AB70E0"/>
    <w:rsid w:val="00AB72E0"/>
    <w:rsid w:val="00AB7D0B"/>
    <w:rsid w:val="00AC438A"/>
    <w:rsid w:val="00AC4D33"/>
    <w:rsid w:val="00AC72F0"/>
    <w:rsid w:val="00AC7E76"/>
    <w:rsid w:val="00AD5538"/>
    <w:rsid w:val="00AD55E4"/>
    <w:rsid w:val="00AE6DEC"/>
    <w:rsid w:val="00AF3C30"/>
    <w:rsid w:val="00AF4DD5"/>
    <w:rsid w:val="00B00D5F"/>
    <w:rsid w:val="00B02DF0"/>
    <w:rsid w:val="00B31361"/>
    <w:rsid w:val="00B43855"/>
    <w:rsid w:val="00B47140"/>
    <w:rsid w:val="00B51600"/>
    <w:rsid w:val="00B57D43"/>
    <w:rsid w:val="00B6598C"/>
    <w:rsid w:val="00B84781"/>
    <w:rsid w:val="00B9099B"/>
    <w:rsid w:val="00B969B8"/>
    <w:rsid w:val="00B96CF2"/>
    <w:rsid w:val="00BA16C6"/>
    <w:rsid w:val="00BA23F8"/>
    <w:rsid w:val="00BA4474"/>
    <w:rsid w:val="00BB148F"/>
    <w:rsid w:val="00BB3AD2"/>
    <w:rsid w:val="00BD6270"/>
    <w:rsid w:val="00BD6333"/>
    <w:rsid w:val="00BE612D"/>
    <w:rsid w:val="00C00AA5"/>
    <w:rsid w:val="00C013C1"/>
    <w:rsid w:val="00C0636B"/>
    <w:rsid w:val="00C2095B"/>
    <w:rsid w:val="00C22B67"/>
    <w:rsid w:val="00C24C28"/>
    <w:rsid w:val="00C27751"/>
    <w:rsid w:val="00C31479"/>
    <w:rsid w:val="00C32EE1"/>
    <w:rsid w:val="00C405D9"/>
    <w:rsid w:val="00C40F46"/>
    <w:rsid w:val="00C42E1D"/>
    <w:rsid w:val="00C45801"/>
    <w:rsid w:val="00C45D85"/>
    <w:rsid w:val="00C52CD3"/>
    <w:rsid w:val="00C62367"/>
    <w:rsid w:val="00C709A8"/>
    <w:rsid w:val="00C72C75"/>
    <w:rsid w:val="00C84472"/>
    <w:rsid w:val="00C86E86"/>
    <w:rsid w:val="00C877C8"/>
    <w:rsid w:val="00C92100"/>
    <w:rsid w:val="00C921B3"/>
    <w:rsid w:val="00CB1D72"/>
    <w:rsid w:val="00CC39C7"/>
    <w:rsid w:val="00CC4346"/>
    <w:rsid w:val="00CC7685"/>
    <w:rsid w:val="00CD2320"/>
    <w:rsid w:val="00CF41A3"/>
    <w:rsid w:val="00CF657B"/>
    <w:rsid w:val="00D15CA6"/>
    <w:rsid w:val="00D17E0F"/>
    <w:rsid w:val="00D20162"/>
    <w:rsid w:val="00D20A23"/>
    <w:rsid w:val="00D313EC"/>
    <w:rsid w:val="00D343C9"/>
    <w:rsid w:val="00D41E5B"/>
    <w:rsid w:val="00D5495B"/>
    <w:rsid w:val="00D62E0A"/>
    <w:rsid w:val="00D73F49"/>
    <w:rsid w:val="00D771A8"/>
    <w:rsid w:val="00D83FE7"/>
    <w:rsid w:val="00D8426A"/>
    <w:rsid w:val="00D9365D"/>
    <w:rsid w:val="00DA07C4"/>
    <w:rsid w:val="00DA1035"/>
    <w:rsid w:val="00DA5F60"/>
    <w:rsid w:val="00DB4039"/>
    <w:rsid w:val="00DB56CA"/>
    <w:rsid w:val="00DC0F8F"/>
    <w:rsid w:val="00DC3832"/>
    <w:rsid w:val="00DC50D8"/>
    <w:rsid w:val="00DD1CA7"/>
    <w:rsid w:val="00E0423B"/>
    <w:rsid w:val="00E067D2"/>
    <w:rsid w:val="00E16E20"/>
    <w:rsid w:val="00E2431A"/>
    <w:rsid w:val="00E34309"/>
    <w:rsid w:val="00E34B6E"/>
    <w:rsid w:val="00E402B9"/>
    <w:rsid w:val="00E51A93"/>
    <w:rsid w:val="00E56EC8"/>
    <w:rsid w:val="00E624D0"/>
    <w:rsid w:val="00E77BC6"/>
    <w:rsid w:val="00E84AE9"/>
    <w:rsid w:val="00E86361"/>
    <w:rsid w:val="00EA0AB1"/>
    <w:rsid w:val="00EA1637"/>
    <w:rsid w:val="00EA784C"/>
    <w:rsid w:val="00EB12AF"/>
    <w:rsid w:val="00EB3ECA"/>
    <w:rsid w:val="00EB6E48"/>
    <w:rsid w:val="00EC1EA5"/>
    <w:rsid w:val="00EC598C"/>
    <w:rsid w:val="00ED2374"/>
    <w:rsid w:val="00EE1D64"/>
    <w:rsid w:val="00EF04F5"/>
    <w:rsid w:val="00EF10B5"/>
    <w:rsid w:val="00EF485C"/>
    <w:rsid w:val="00F1079B"/>
    <w:rsid w:val="00F21600"/>
    <w:rsid w:val="00F23689"/>
    <w:rsid w:val="00F24C3B"/>
    <w:rsid w:val="00F34CB7"/>
    <w:rsid w:val="00F54649"/>
    <w:rsid w:val="00F54671"/>
    <w:rsid w:val="00F61142"/>
    <w:rsid w:val="00F6187F"/>
    <w:rsid w:val="00F64F58"/>
    <w:rsid w:val="00F656D5"/>
    <w:rsid w:val="00F67DDD"/>
    <w:rsid w:val="00F80769"/>
    <w:rsid w:val="00F80A73"/>
    <w:rsid w:val="00F875E1"/>
    <w:rsid w:val="00FB52CF"/>
    <w:rsid w:val="00FB58E4"/>
    <w:rsid w:val="00FC5163"/>
    <w:rsid w:val="00FD1DBB"/>
    <w:rsid w:val="00FE4E86"/>
    <w:rsid w:val="00FF3DF0"/>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C7E4"/>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customStyle="1" w:styleId="paragraph">
    <w:name w:val="paragraph"/>
    <w:basedOn w:val="Normal"/>
    <w:rsid w:val="00CC768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C7685"/>
  </w:style>
  <w:style w:type="character" w:customStyle="1" w:styleId="eop">
    <w:name w:val="eop"/>
    <w:basedOn w:val="DefaultParagraphFont"/>
    <w:rsid w:val="00CC7685"/>
  </w:style>
  <w:style w:type="table" w:styleId="TableGrid">
    <w:name w:val="Table Grid"/>
    <w:basedOn w:val="TableNormal"/>
    <w:uiPriority w:val="39"/>
    <w:unhideWhenUsed/>
    <w:rsid w:val="00AA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9BF"/>
    <w:pPr>
      <w:ind w:left="720"/>
      <w:contextualSpacing/>
    </w:pPr>
  </w:style>
  <w:style w:type="character" w:styleId="CommentReference">
    <w:name w:val="annotation reference"/>
    <w:basedOn w:val="DefaultParagraphFont"/>
    <w:semiHidden/>
    <w:unhideWhenUsed/>
    <w:rsid w:val="00F80769"/>
    <w:rPr>
      <w:sz w:val="16"/>
      <w:szCs w:val="16"/>
    </w:rPr>
  </w:style>
  <w:style w:type="paragraph" w:styleId="CommentText">
    <w:name w:val="annotation text"/>
    <w:basedOn w:val="Normal"/>
    <w:link w:val="CommentTextChar"/>
    <w:semiHidden/>
    <w:unhideWhenUsed/>
    <w:rsid w:val="00F80769"/>
    <w:rPr>
      <w:sz w:val="20"/>
    </w:rPr>
  </w:style>
  <w:style w:type="character" w:customStyle="1" w:styleId="CommentTextChar">
    <w:name w:val="Comment Text Char"/>
    <w:basedOn w:val="DefaultParagraphFont"/>
    <w:link w:val="CommentText"/>
    <w:semiHidden/>
    <w:rsid w:val="00F80769"/>
    <w:rPr>
      <w:rFonts w:ascii="Arial" w:hAnsi="Arial"/>
      <w:lang w:eastAsia="en-US"/>
    </w:rPr>
  </w:style>
  <w:style w:type="paragraph" w:styleId="CommentSubject">
    <w:name w:val="annotation subject"/>
    <w:basedOn w:val="CommentText"/>
    <w:next w:val="CommentText"/>
    <w:link w:val="CommentSubjectChar"/>
    <w:semiHidden/>
    <w:unhideWhenUsed/>
    <w:rsid w:val="00F80769"/>
    <w:rPr>
      <w:b/>
      <w:bCs/>
    </w:rPr>
  </w:style>
  <w:style w:type="character" w:customStyle="1" w:styleId="CommentSubjectChar">
    <w:name w:val="Comment Subject Char"/>
    <w:basedOn w:val="CommentTextChar"/>
    <w:link w:val="CommentSubject"/>
    <w:semiHidden/>
    <w:rsid w:val="00F80769"/>
    <w:rPr>
      <w:rFonts w:ascii="Arial" w:hAnsi="Arial"/>
      <w:b/>
      <w:bCs/>
      <w:lang w:eastAsia="en-US"/>
    </w:rPr>
  </w:style>
  <w:style w:type="paragraph" w:styleId="Revision">
    <w:name w:val="Revision"/>
    <w:hidden/>
    <w:uiPriority w:val="99"/>
    <w:semiHidden/>
    <w:rsid w:val="005F30F2"/>
    <w:rPr>
      <w:rFonts w:ascii="Arial" w:hAnsi="Arial"/>
      <w:sz w:val="24"/>
      <w:lang w:eastAsia="en-US"/>
    </w:rPr>
  </w:style>
  <w:style w:type="paragraph" w:styleId="BodyTextIndent">
    <w:name w:val="Body Text Indent"/>
    <w:basedOn w:val="Normal"/>
    <w:link w:val="BodyTextIndentChar"/>
    <w:rsid w:val="00D62E0A"/>
    <w:pPr>
      <w:spacing w:after="120"/>
      <w:ind w:left="283"/>
    </w:pPr>
  </w:style>
  <w:style w:type="character" w:customStyle="1" w:styleId="BodyTextIndentChar">
    <w:name w:val="Body Text Indent Char"/>
    <w:basedOn w:val="DefaultParagraphFont"/>
    <w:link w:val="BodyTextIndent"/>
    <w:rsid w:val="00D62E0A"/>
    <w:rPr>
      <w:rFonts w:ascii="Arial" w:hAnsi="Arial"/>
      <w:sz w:val="24"/>
      <w:lang w:eastAsia="en-US"/>
    </w:rPr>
  </w:style>
  <w:style w:type="paragraph" w:styleId="ListNumber">
    <w:name w:val="List Number"/>
    <w:basedOn w:val="Normal"/>
    <w:rsid w:val="00D62E0A"/>
    <w:pPr>
      <w:numPr>
        <w:numId w:val="24"/>
      </w:numPr>
      <w:spacing w:after="180"/>
    </w:pPr>
  </w:style>
  <w:style w:type="character" w:customStyle="1" w:styleId="FooterChar">
    <w:name w:val="Footer Char"/>
    <w:basedOn w:val="DefaultParagraphFont"/>
    <w:link w:val="Footer"/>
    <w:uiPriority w:val="99"/>
    <w:rsid w:val="003750A5"/>
    <w:rPr>
      <w:rFonts w:ascii="Arial" w:hAnsi="Arial"/>
      <w:sz w:val="24"/>
      <w:szCs w:val="24"/>
      <w:lang w:val="en-US" w:eastAsia="en-US"/>
    </w:rPr>
  </w:style>
  <w:style w:type="character" w:styleId="Hyperlink">
    <w:name w:val="Hyperlink"/>
    <w:basedOn w:val="DefaultParagraphFont"/>
    <w:unhideWhenUsed/>
    <w:rsid w:val="00AC72F0"/>
    <w:rPr>
      <w:color w:val="0000FF" w:themeColor="hyperlink"/>
      <w:u w:val="single"/>
    </w:rPr>
  </w:style>
  <w:style w:type="character" w:styleId="UnresolvedMention">
    <w:name w:val="Unresolved Mention"/>
    <w:basedOn w:val="DefaultParagraphFont"/>
    <w:uiPriority w:val="99"/>
    <w:semiHidden/>
    <w:unhideWhenUsed/>
    <w:rsid w:val="00AC72F0"/>
    <w:rPr>
      <w:color w:val="605E5C"/>
      <w:shd w:val="clear" w:color="auto" w:fill="E1DFDD"/>
    </w:rPr>
  </w:style>
  <w:style w:type="character" w:customStyle="1" w:styleId="ui-provider">
    <w:name w:val="ui-provider"/>
    <w:basedOn w:val="DefaultParagraphFont"/>
    <w:rsid w:val="00AD55E4"/>
  </w:style>
  <w:style w:type="character" w:styleId="Strong">
    <w:name w:val="Strong"/>
    <w:basedOn w:val="DefaultParagraphFont"/>
    <w:uiPriority w:val="22"/>
    <w:qFormat/>
    <w:rsid w:val="00AD55E4"/>
    <w:rPr>
      <w:b/>
      <w:bCs/>
    </w:rPr>
  </w:style>
  <w:style w:type="character" w:styleId="FollowedHyperlink">
    <w:name w:val="FollowedHyperlink"/>
    <w:basedOn w:val="DefaultParagraphFont"/>
    <w:semiHidden/>
    <w:unhideWhenUsed/>
    <w:rsid w:val="00F80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9711">
      <w:bodyDiv w:val="1"/>
      <w:marLeft w:val="0"/>
      <w:marRight w:val="0"/>
      <w:marTop w:val="0"/>
      <w:marBottom w:val="0"/>
      <w:divBdr>
        <w:top w:val="none" w:sz="0" w:space="0" w:color="auto"/>
        <w:left w:val="none" w:sz="0" w:space="0" w:color="auto"/>
        <w:bottom w:val="none" w:sz="0" w:space="0" w:color="auto"/>
        <w:right w:val="none" w:sz="0" w:space="0" w:color="auto"/>
      </w:divBdr>
      <w:divsChild>
        <w:div w:id="996766790">
          <w:marLeft w:val="0"/>
          <w:marRight w:val="0"/>
          <w:marTop w:val="0"/>
          <w:marBottom w:val="0"/>
          <w:divBdr>
            <w:top w:val="none" w:sz="0" w:space="0" w:color="auto"/>
            <w:left w:val="none" w:sz="0" w:space="0" w:color="auto"/>
            <w:bottom w:val="none" w:sz="0" w:space="0" w:color="auto"/>
            <w:right w:val="none" w:sz="0" w:space="0" w:color="auto"/>
          </w:divBdr>
        </w:div>
        <w:div w:id="1465075057">
          <w:marLeft w:val="0"/>
          <w:marRight w:val="0"/>
          <w:marTop w:val="0"/>
          <w:marBottom w:val="0"/>
          <w:divBdr>
            <w:top w:val="none" w:sz="0" w:space="0" w:color="auto"/>
            <w:left w:val="none" w:sz="0" w:space="0" w:color="auto"/>
            <w:bottom w:val="none" w:sz="0" w:space="0" w:color="auto"/>
            <w:right w:val="none" w:sz="0" w:space="0" w:color="auto"/>
          </w:divBdr>
        </w:div>
        <w:div w:id="482086990">
          <w:marLeft w:val="0"/>
          <w:marRight w:val="0"/>
          <w:marTop w:val="0"/>
          <w:marBottom w:val="0"/>
          <w:divBdr>
            <w:top w:val="none" w:sz="0" w:space="0" w:color="auto"/>
            <w:left w:val="none" w:sz="0" w:space="0" w:color="auto"/>
            <w:bottom w:val="none" w:sz="0" w:space="0" w:color="auto"/>
            <w:right w:val="none" w:sz="0" w:space="0" w:color="auto"/>
          </w:divBdr>
        </w:div>
        <w:div w:id="117798943">
          <w:marLeft w:val="0"/>
          <w:marRight w:val="0"/>
          <w:marTop w:val="0"/>
          <w:marBottom w:val="0"/>
          <w:divBdr>
            <w:top w:val="none" w:sz="0" w:space="0" w:color="auto"/>
            <w:left w:val="none" w:sz="0" w:space="0" w:color="auto"/>
            <w:bottom w:val="none" w:sz="0" w:space="0" w:color="auto"/>
            <w:right w:val="none" w:sz="0" w:space="0" w:color="auto"/>
          </w:divBdr>
        </w:div>
        <w:div w:id="1807315728">
          <w:marLeft w:val="0"/>
          <w:marRight w:val="0"/>
          <w:marTop w:val="0"/>
          <w:marBottom w:val="0"/>
          <w:divBdr>
            <w:top w:val="none" w:sz="0" w:space="0" w:color="auto"/>
            <w:left w:val="none" w:sz="0" w:space="0" w:color="auto"/>
            <w:bottom w:val="none" w:sz="0" w:space="0" w:color="auto"/>
            <w:right w:val="none" w:sz="0" w:space="0" w:color="auto"/>
          </w:divBdr>
        </w:div>
        <w:div w:id="1461150395">
          <w:marLeft w:val="0"/>
          <w:marRight w:val="0"/>
          <w:marTop w:val="0"/>
          <w:marBottom w:val="0"/>
          <w:divBdr>
            <w:top w:val="none" w:sz="0" w:space="0" w:color="auto"/>
            <w:left w:val="none" w:sz="0" w:space="0" w:color="auto"/>
            <w:bottom w:val="none" w:sz="0" w:space="0" w:color="auto"/>
            <w:right w:val="none" w:sz="0" w:space="0" w:color="auto"/>
          </w:divBdr>
        </w:div>
        <w:div w:id="1349522143">
          <w:marLeft w:val="0"/>
          <w:marRight w:val="0"/>
          <w:marTop w:val="0"/>
          <w:marBottom w:val="0"/>
          <w:divBdr>
            <w:top w:val="none" w:sz="0" w:space="0" w:color="auto"/>
            <w:left w:val="none" w:sz="0" w:space="0" w:color="auto"/>
            <w:bottom w:val="none" w:sz="0" w:space="0" w:color="auto"/>
            <w:right w:val="none" w:sz="0" w:space="0" w:color="auto"/>
          </w:divBdr>
        </w:div>
        <w:div w:id="57677680">
          <w:marLeft w:val="0"/>
          <w:marRight w:val="0"/>
          <w:marTop w:val="0"/>
          <w:marBottom w:val="0"/>
          <w:divBdr>
            <w:top w:val="none" w:sz="0" w:space="0" w:color="auto"/>
            <w:left w:val="none" w:sz="0" w:space="0" w:color="auto"/>
            <w:bottom w:val="none" w:sz="0" w:space="0" w:color="auto"/>
            <w:right w:val="none" w:sz="0" w:space="0" w:color="auto"/>
          </w:divBdr>
        </w:div>
        <w:div w:id="1125583846">
          <w:marLeft w:val="0"/>
          <w:marRight w:val="0"/>
          <w:marTop w:val="0"/>
          <w:marBottom w:val="0"/>
          <w:divBdr>
            <w:top w:val="none" w:sz="0" w:space="0" w:color="auto"/>
            <w:left w:val="none" w:sz="0" w:space="0" w:color="auto"/>
            <w:bottom w:val="none" w:sz="0" w:space="0" w:color="auto"/>
            <w:right w:val="none" w:sz="0" w:space="0" w:color="auto"/>
          </w:divBdr>
        </w:div>
        <w:div w:id="1929461542">
          <w:marLeft w:val="0"/>
          <w:marRight w:val="0"/>
          <w:marTop w:val="0"/>
          <w:marBottom w:val="0"/>
          <w:divBdr>
            <w:top w:val="none" w:sz="0" w:space="0" w:color="auto"/>
            <w:left w:val="none" w:sz="0" w:space="0" w:color="auto"/>
            <w:bottom w:val="none" w:sz="0" w:space="0" w:color="auto"/>
            <w:right w:val="none" w:sz="0" w:space="0" w:color="auto"/>
          </w:divBdr>
        </w:div>
        <w:div w:id="1106968934">
          <w:marLeft w:val="0"/>
          <w:marRight w:val="0"/>
          <w:marTop w:val="0"/>
          <w:marBottom w:val="0"/>
          <w:divBdr>
            <w:top w:val="none" w:sz="0" w:space="0" w:color="auto"/>
            <w:left w:val="none" w:sz="0" w:space="0" w:color="auto"/>
            <w:bottom w:val="none" w:sz="0" w:space="0" w:color="auto"/>
            <w:right w:val="none" w:sz="0" w:space="0" w:color="auto"/>
          </w:divBdr>
        </w:div>
        <w:div w:id="775440379">
          <w:marLeft w:val="0"/>
          <w:marRight w:val="0"/>
          <w:marTop w:val="0"/>
          <w:marBottom w:val="0"/>
          <w:divBdr>
            <w:top w:val="none" w:sz="0" w:space="0" w:color="auto"/>
            <w:left w:val="none" w:sz="0" w:space="0" w:color="auto"/>
            <w:bottom w:val="none" w:sz="0" w:space="0" w:color="auto"/>
            <w:right w:val="none" w:sz="0" w:space="0" w:color="auto"/>
          </w:divBdr>
        </w:div>
        <w:div w:id="191965894">
          <w:marLeft w:val="0"/>
          <w:marRight w:val="0"/>
          <w:marTop w:val="0"/>
          <w:marBottom w:val="0"/>
          <w:divBdr>
            <w:top w:val="none" w:sz="0" w:space="0" w:color="auto"/>
            <w:left w:val="none" w:sz="0" w:space="0" w:color="auto"/>
            <w:bottom w:val="none" w:sz="0" w:space="0" w:color="auto"/>
            <w:right w:val="none" w:sz="0" w:space="0" w:color="auto"/>
          </w:divBdr>
        </w:div>
        <w:div w:id="211426815">
          <w:marLeft w:val="0"/>
          <w:marRight w:val="0"/>
          <w:marTop w:val="0"/>
          <w:marBottom w:val="0"/>
          <w:divBdr>
            <w:top w:val="none" w:sz="0" w:space="0" w:color="auto"/>
            <w:left w:val="none" w:sz="0" w:space="0" w:color="auto"/>
            <w:bottom w:val="none" w:sz="0" w:space="0" w:color="auto"/>
            <w:right w:val="none" w:sz="0" w:space="0" w:color="auto"/>
          </w:divBdr>
        </w:div>
        <w:div w:id="1528135377">
          <w:marLeft w:val="0"/>
          <w:marRight w:val="0"/>
          <w:marTop w:val="0"/>
          <w:marBottom w:val="0"/>
          <w:divBdr>
            <w:top w:val="none" w:sz="0" w:space="0" w:color="auto"/>
            <w:left w:val="none" w:sz="0" w:space="0" w:color="auto"/>
            <w:bottom w:val="none" w:sz="0" w:space="0" w:color="auto"/>
            <w:right w:val="none" w:sz="0" w:space="0" w:color="auto"/>
          </w:divBdr>
        </w:div>
        <w:div w:id="962425906">
          <w:marLeft w:val="0"/>
          <w:marRight w:val="0"/>
          <w:marTop w:val="0"/>
          <w:marBottom w:val="0"/>
          <w:divBdr>
            <w:top w:val="none" w:sz="0" w:space="0" w:color="auto"/>
            <w:left w:val="none" w:sz="0" w:space="0" w:color="auto"/>
            <w:bottom w:val="none" w:sz="0" w:space="0" w:color="auto"/>
            <w:right w:val="none" w:sz="0" w:space="0" w:color="auto"/>
          </w:divBdr>
        </w:div>
        <w:div w:id="1030297524">
          <w:marLeft w:val="0"/>
          <w:marRight w:val="0"/>
          <w:marTop w:val="0"/>
          <w:marBottom w:val="0"/>
          <w:divBdr>
            <w:top w:val="none" w:sz="0" w:space="0" w:color="auto"/>
            <w:left w:val="none" w:sz="0" w:space="0" w:color="auto"/>
            <w:bottom w:val="none" w:sz="0" w:space="0" w:color="auto"/>
            <w:right w:val="none" w:sz="0" w:space="0" w:color="auto"/>
          </w:divBdr>
        </w:div>
        <w:div w:id="1953587663">
          <w:marLeft w:val="0"/>
          <w:marRight w:val="0"/>
          <w:marTop w:val="0"/>
          <w:marBottom w:val="0"/>
          <w:divBdr>
            <w:top w:val="none" w:sz="0" w:space="0" w:color="auto"/>
            <w:left w:val="none" w:sz="0" w:space="0" w:color="auto"/>
            <w:bottom w:val="none" w:sz="0" w:space="0" w:color="auto"/>
            <w:right w:val="none" w:sz="0" w:space="0" w:color="auto"/>
          </w:divBdr>
        </w:div>
        <w:div w:id="1974673288">
          <w:marLeft w:val="0"/>
          <w:marRight w:val="0"/>
          <w:marTop w:val="0"/>
          <w:marBottom w:val="0"/>
          <w:divBdr>
            <w:top w:val="none" w:sz="0" w:space="0" w:color="auto"/>
            <w:left w:val="none" w:sz="0" w:space="0" w:color="auto"/>
            <w:bottom w:val="none" w:sz="0" w:space="0" w:color="auto"/>
            <w:right w:val="none" w:sz="0" w:space="0" w:color="auto"/>
          </w:divBdr>
        </w:div>
        <w:div w:id="857545004">
          <w:marLeft w:val="0"/>
          <w:marRight w:val="0"/>
          <w:marTop w:val="0"/>
          <w:marBottom w:val="0"/>
          <w:divBdr>
            <w:top w:val="none" w:sz="0" w:space="0" w:color="auto"/>
            <w:left w:val="none" w:sz="0" w:space="0" w:color="auto"/>
            <w:bottom w:val="none" w:sz="0" w:space="0" w:color="auto"/>
            <w:right w:val="none" w:sz="0" w:space="0" w:color="auto"/>
          </w:divBdr>
        </w:div>
        <w:div w:id="810827459">
          <w:marLeft w:val="0"/>
          <w:marRight w:val="0"/>
          <w:marTop w:val="0"/>
          <w:marBottom w:val="0"/>
          <w:divBdr>
            <w:top w:val="none" w:sz="0" w:space="0" w:color="auto"/>
            <w:left w:val="none" w:sz="0" w:space="0" w:color="auto"/>
            <w:bottom w:val="none" w:sz="0" w:space="0" w:color="auto"/>
            <w:right w:val="none" w:sz="0" w:space="0" w:color="auto"/>
          </w:divBdr>
        </w:div>
        <w:div w:id="337659967">
          <w:marLeft w:val="0"/>
          <w:marRight w:val="0"/>
          <w:marTop w:val="0"/>
          <w:marBottom w:val="0"/>
          <w:divBdr>
            <w:top w:val="none" w:sz="0" w:space="0" w:color="auto"/>
            <w:left w:val="none" w:sz="0" w:space="0" w:color="auto"/>
            <w:bottom w:val="none" w:sz="0" w:space="0" w:color="auto"/>
            <w:right w:val="none" w:sz="0" w:space="0" w:color="auto"/>
          </w:divBdr>
          <w:divsChild>
            <w:div w:id="496268320">
              <w:marLeft w:val="0"/>
              <w:marRight w:val="0"/>
              <w:marTop w:val="30"/>
              <w:marBottom w:val="30"/>
              <w:divBdr>
                <w:top w:val="none" w:sz="0" w:space="0" w:color="auto"/>
                <w:left w:val="none" w:sz="0" w:space="0" w:color="auto"/>
                <w:bottom w:val="none" w:sz="0" w:space="0" w:color="auto"/>
                <w:right w:val="none" w:sz="0" w:space="0" w:color="auto"/>
              </w:divBdr>
              <w:divsChild>
                <w:div w:id="85393872">
                  <w:marLeft w:val="0"/>
                  <w:marRight w:val="0"/>
                  <w:marTop w:val="0"/>
                  <w:marBottom w:val="0"/>
                  <w:divBdr>
                    <w:top w:val="none" w:sz="0" w:space="0" w:color="auto"/>
                    <w:left w:val="none" w:sz="0" w:space="0" w:color="auto"/>
                    <w:bottom w:val="none" w:sz="0" w:space="0" w:color="auto"/>
                    <w:right w:val="none" w:sz="0" w:space="0" w:color="auto"/>
                  </w:divBdr>
                  <w:divsChild>
                    <w:div w:id="1581989769">
                      <w:marLeft w:val="0"/>
                      <w:marRight w:val="0"/>
                      <w:marTop w:val="0"/>
                      <w:marBottom w:val="0"/>
                      <w:divBdr>
                        <w:top w:val="none" w:sz="0" w:space="0" w:color="auto"/>
                        <w:left w:val="none" w:sz="0" w:space="0" w:color="auto"/>
                        <w:bottom w:val="none" w:sz="0" w:space="0" w:color="auto"/>
                        <w:right w:val="none" w:sz="0" w:space="0" w:color="auto"/>
                      </w:divBdr>
                    </w:div>
                  </w:divsChild>
                </w:div>
                <w:div w:id="400064113">
                  <w:marLeft w:val="0"/>
                  <w:marRight w:val="0"/>
                  <w:marTop w:val="0"/>
                  <w:marBottom w:val="0"/>
                  <w:divBdr>
                    <w:top w:val="none" w:sz="0" w:space="0" w:color="auto"/>
                    <w:left w:val="none" w:sz="0" w:space="0" w:color="auto"/>
                    <w:bottom w:val="none" w:sz="0" w:space="0" w:color="auto"/>
                    <w:right w:val="none" w:sz="0" w:space="0" w:color="auto"/>
                  </w:divBdr>
                  <w:divsChild>
                    <w:div w:id="2121339596">
                      <w:marLeft w:val="0"/>
                      <w:marRight w:val="0"/>
                      <w:marTop w:val="0"/>
                      <w:marBottom w:val="0"/>
                      <w:divBdr>
                        <w:top w:val="none" w:sz="0" w:space="0" w:color="auto"/>
                        <w:left w:val="none" w:sz="0" w:space="0" w:color="auto"/>
                        <w:bottom w:val="none" w:sz="0" w:space="0" w:color="auto"/>
                        <w:right w:val="none" w:sz="0" w:space="0" w:color="auto"/>
                      </w:divBdr>
                    </w:div>
                  </w:divsChild>
                </w:div>
                <w:div w:id="2140029711">
                  <w:marLeft w:val="0"/>
                  <w:marRight w:val="0"/>
                  <w:marTop w:val="0"/>
                  <w:marBottom w:val="0"/>
                  <w:divBdr>
                    <w:top w:val="none" w:sz="0" w:space="0" w:color="auto"/>
                    <w:left w:val="none" w:sz="0" w:space="0" w:color="auto"/>
                    <w:bottom w:val="none" w:sz="0" w:space="0" w:color="auto"/>
                    <w:right w:val="none" w:sz="0" w:space="0" w:color="auto"/>
                  </w:divBdr>
                  <w:divsChild>
                    <w:div w:id="1524787541">
                      <w:marLeft w:val="0"/>
                      <w:marRight w:val="0"/>
                      <w:marTop w:val="0"/>
                      <w:marBottom w:val="0"/>
                      <w:divBdr>
                        <w:top w:val="none" w:sz="0" w:space="0" w:color="auto"/>
                        <w:left w:val="none" w:sz="0" w:space="0" w:color="auto"/>
                        <w:bottom w:val="none" w:sz="0" w:space="0" w:color="auto"/>
                        <w:right w:val="none" w:sz="0" w:space="0" w:color="auto"/>
                      </w:divBdr>
                    </w:div>
                  </w:divsChild>
                </w:div>
                <w:div w:id="704019267">
                  <w:marLeft w:val="0"/>
                  <w:marRight w:val="0"/>
                  <w:marTop w:val="0"/>
                  <w:marBottom w:val="0"/>
                  <w:divBdr>
                    <w:top w:val="none" w:sz="0" w:space="0" w:color="auto"/>
                    <w:left w:val="none" w:sz="0" w:space="0" w:color="auto"/>
                    <w:bottom w:val="none" w:sz="0" w:space="0" w:color="auto"/>
                    <w:right w:val="none" w:sz="0" w:space="0" w:color="auto"/>
                  </w:divBdr>
                  <w:divsChild>
                    <w:div w:id="898368073">
                      <w:marLeft w:val="0"/>
                      <w:marRight w:val="0"/>
                      <w:marTop w:val="0"/>
                      <w:marBottom w:val="0"/>
                      <w:divBdr>
                        <w:top w:val="none" w:sz="0" w:space="0" w:color="auto"/>
                        <w:left w:val="none" w:sz="0" w:space="0" w:color="auto"/>
                        <w:bottom w:val="none" w:sz="0" w:space="0" w:color="auto"/>
                        <w:right w:val="none" w:sz="0" w:space="0" w:color="auto"/>
                      </w:divBdr>
                    </w:div>
                  </w:divsChild>
                </w:div>
                <w:div w:id="215165169">
                  <w:marLeft w:val="0"/>
                  <w:marRight w:val="0"/>
                  <w:marTop w:val="0"/>
                  <w:marBottom w:val="0"/>
                  <w:divBdr>
                    <w:top w:val="none" w:sz="0" w:space="0" w:color="auto"/>
                    <w:left w:val="none" w:sz="0" w:space="0" w:color="auto"/>
                    <w:bottom w:val="none" w:sz="0" w:space="0" w:color="auto"/>
                    <w:right w:val="none" w:sz="0" w:space="0" w:color="auto"/>
                  </w:divBdr>
                  <w:divsChild>
                    <w:div w:id="1875727603">
                      <w:marLeft w:val="0"/>
                      <w:marRight w:val="0"/>
                      <w:marTop w:val="0"/>
                      <w:marBottom w:val="0"/>
                      <w:divBdr>
                        <w:top w:val="none" w:sz="0" w:space="0" w:color="auto"/>
                        <w:left w:val="none" w:sz="0" w:space="0" w:color="auto"/>
                        <w:bottom w:val="none" w:sz="0" w:space="0" w:color="auto"/>
                        <w:right w:val="none" w:sz="0" w:space="0" w:color="auto"/>
                      </w:divBdr>
                    </w:div>
                  </w:divsChild>
                </w:div>
                <w:div w:id="2123106381">
                  <w:marLeft w:val="0"/>
                  <w:marRight w:val="0"/>
                  <w:marTop w:val="0"/>
                  <w:marBottom w:val="0"/>
                  <w:divBdr>
                    <w:top w:val="none" w:sz="0" w:space="0" w:color="auto"/>
                    <w:left w:val="none" w:sz="0" w:space="0" w:color="auto"/>
                    <w:bottom w:val="none" w:sz="0" w:space="0" w:color="auto"/>
                    <w:right w:val="none" w:sz="0" w:space="0" w:color="auto"/>
                  </w:divBdr>
                  <w:divsChild>
                    <w:div w:id="1071924576">
                      <w:marLeft w:val="0"/>
                      <w:marRight w:val="0"/>
                      <w:marTop w:val="0"/>
                      <w:marBottom w:val="0"/>
                      <w:divBdr>
                        <w:top w:val="none" w:sz="0" w:space="0" w:color="auto"/>
                        <w:left w:val="none" w:sz="0" w:space="0" w:color="auto"/>
                        <w:bottom w:val="none" w:sz="0" w:space="0" w:color="auto"/>
                        <w:right w:val="none" w:sz="0" w:space="0" w:color="auto"/>
                      </w:divBdr>
                    </w:div>
                    <w:div w:id="386802123">
                      <w:marLeft w:val="0"/>
                      <w:marRight w:val="0"/>
                      <w:marTop w:val="0"/>
                      <w:marBottom w:val="0"/>
                      <w:divBdr>
                        <w:top w:val="none" w:sz="0" w:space="0" w:color="auto"/>
                        <w:left w:val="none" w:sz="0" w:space="0" w:color="auto"/>
                        <w:bottom w:val="none" w:sz="0" w:space="0" w:color="auto"/>
                        <w:right w:val="none" w:sz="0" w:space="0" w:color="auto"/>
                      </w:divBdr>
                    </w:div>
                    <w:div w:id="1874729068">
                      <w:marLeft w:val="0"/>
                      <w:marRight w:val="0"/>
                      <w:marTop w:val="0"/>
                      <w:marBottom w:val="0"/>
                      <w:divBdr>
                        <w:top w:val="none" w:sz="0" w:space="0" w:color="auto"/>
                        <w:left w:val="none" w:sz="0" w:space="0" w:color="auto"/>
                        <w:bottom w:val="none" w:sz="0" w:space="0" w:color="auto"/>
                        <w:right w:val="none" w:sz="0" w:space="0" w:color="auto"/>
                      </w:divBdr>
                    </w:div>
                  </w:divsChild>
                </w:div>
                <w:div w:id="553084759">
                  <w:marLeft w:val="0"/>
                  <w:marRight w:val="0"/>
                  <w:marTop w:val="0"/>
                  <w:marBottom w:val="0"/>
                  <w:divBdr>
                    <w:top w:val="none" w:sz="0" w:space="0" w:color="auto"/>
                    <w:left w:val="none" w:sz="0" w:space="0" w:color="auto"/>
                    <w:bottom w:val="none" w:sz="0" w:space="0" w:color="auto"/>
                    <w:right w:val="none" w:sz="0" w:space="0" w:color="auto"/>
                  </w:divBdr>
                  <w:divsChild>
                    <w:div w:id="1975477419">
                      <w:marLeft w:val="0"/>
                      <w:marRight w:val="0"/>
                      <w:marTop w:val="0"/>
                      <w:marBottom w:val="0"/>
                      <w:divBdr>
                        <w:top w:val="none" w:sz="0" w:space="0" w:color="auto"/>
                        <w:left w:val="none" w:sz="0" w:space="0" w:color="auto"/>
                        <w:bottom w:val="none" w:sz="0" w:space="0" w:color="auto"/>
                        <w:right w:val="none" w:sz="0" w:space="0" w:color="auto"/>
                      </w:divBdr>
                    </w:div>
                  </w:divsChild>
                </w:div>
                <w:div w:id="749739392">
                  <w:marLeft w:val="0"/>
                  <w:marRight w:val="0"/>
                  <w:marTop w:val="0"/>
                  <w:marBottom w:val="0"/>
                  <w:divBdr>
                    <w:top w:val="none" w:sz="0" w:space="0" w:color="auto"/>
                    <w:left w:val="none" w:sz="0" w:space="0" w:color="auto"/>
                    <w:bottom w:val="none" w:sz="0" w:space="0" w:color="auto"/>
                    <w:right w:val="none" w:sz="0" w:space="0" w:color="auto"/>
                  </w:divBdr>
                  <w:divsChild>
                    <w:div w:id="1516769035">
                      <w:marLeft w:val="0"/>
                      <w:marRight w:val="0"/>
                      <w:marTop w:val="0"/>
                      <w:marBottom w:val="0"/>
                      <w:divBdr>
                        <w:top w:val="none" w:sz="0" w:space="0" w:color="auto"/>
                        <w:left w:val="none" w:sz="0" w:space="0" w:color="auto"/>
                        <w:bottom w:val="none" w:sz="0" w:space="0" w:color="auto"/>
                        <w:right w:val="none" w:sz="0" w:space="0" w:color="auto"/>
                      </w:divBdr>
                    </w:div>
                  </w:divsChild>
                </w:div>
                <w:div w:id="1135103243">
                  <w:marLeft w:val="0"/>
                  <w:marRight w:val="0"/>
                  <w:marTop w:val="0"/>
                  <w:marBottom w:val="0"/>
                  <w:divBdr>
                    <w:top w:val="none" w:sz="0" w:space="0" w:color="auto"/>
                    <w:left w:val="none" w:sz="0" w:space="0" w:color="auto"/>
                    <w:bottom w:val="none" w:sz="0" w:space="0" w:color="auto"/>
                    <w:right w:val="none" w:sz="0" w:space="0" w:color="auto"/>
                  </w:divBdr>
                  <w:divsChild>
                    <w:div w:id="11631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5694">
      <w:bodyDiv w:val="1"/>
      <w:marLeft w:val="0"/>
      <w:marRight w:val="0"/>
      <w:marTop w:val="0"/>
      <w:marBottom w:val="0"/>
      <w:divBdr>
        <w:top w:val="none" w:sz="0" w:space="0" w:color="auto"/>
        <w:left w:val="none" w:sz="0" w:space="0" w:color="auto"/>
        <w:bottom w:val="none" w:sz="0" w:space="0" w:color="auto"/>
        <w:right w:val="none" w:sz="0" w:space="0" w:color="auto"/>
      </w:divBdr>
    </w:div>
    <w:div w:id="16761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media/6579dec8095987000d95e063/Revised_guidance_issued_under_section_182_of_the_Licensing_Act_2003_-_December_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rrow.gov.uk/downloads/file/23077/statement-of-licensing-policy-2016-2023.pdf" TargetMode="External"/><Relationship Id="rId4" Type="http://schemas.openxmlformats.org/officeDocument/2006/relationships/settings" Target="settings.xml"/><Relationship Id="rId9" Type="http://schemas.openxmlformats.org/officeDocument/2006/relationships/hyperlink" Target="https://www.gov.uk/government/publications/explanatory-memorandum-revised-guidance-issued-under-s-182-of-licensing-act-2003" TargetMode="External"/><Relationship Id="rId14" Type="http://schemas.openxmlformats.org/officeDocument/2006/relationships/hyperlink" Target="https://www.harrow.gov.uk/downloads/file/23077/statement-of-licensing-policy-2016-202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8T12:06:58.765"/>
    </inkml:context>
    <inkml:brush xml:id="br0">
      <inkml:brushProperty name="width" value="0.05" units="cm"/>
      <inkml:brushProperty name="height" value="0.05" units="cm"/>
    </inkml:brush>
  </inkml:definitions>
  <inkml:trace contextRef="#ctx0" brushRef="#br0">163 675 24575,'-3'10'0,"-4"28"0,-3 55 0,6-37 0,1-24 0,-28 386 0,30-333 0,4-1 0,32 163 0,-25-206 0,25 63 0,-29-90 0,1 0 0,0 0 0,2 0 0,0-1 0,0 0 0,2-1 0,16 18 0,-23-26 0,-1-1 0,1-1 0,0 1 0,0 0 0,0-1 0,0 0 0,1 1 0,0-2 0,-1 1 0,6 1 0,-8-2 0,1-1 0,-1 1 0,0-1 0,1 0 0,0 0 0,-1 0 0,0 0 0,1 0 0,-1-1 0,1 1 0,-1-1 0,0 1 0,1-1 0,-1 0 0,0 0 0,1 0 0,-1 0 0,0 0 0,0 0 0,0 0 0,4-3 0,-1-1 0,0 1 0,0-1 0,-1 0 0,0 0 0,0-1 0,4-7 0,18-39 0,57-180-424,-24-9-365,-36 121 661,8-218 0,-31 263 113,-4 0 0,-3 0 0,-5 1-1,-23-83 1,19 110-201,-36-79 0,41 105 213,-1 1 0,-1-1 0,-1 2 0,-1 0 1,-30-31-1,39 45-2,0 0 1,-1-1-1,0 2 1,1-1-1,-2 1 1,1 0-1,-1 0 1,0 0-1,-8-2 1,12 5 53,1 0 0,0 1-1,-1-1 1,1 1 0,-1-1 0,1 1 0,-1 0 0,0 0 0,1 0 0,0 1 0,-1-1 0,1 1 0,-1-1 0,1 1 0,0 0 0,-1 0 0,1 1 0,0-1 0,0 0 0,0 1 0,0 0-1,0-1 1,0 1 0,-4 4 0,1 0 17,0 0-1,0 1 0,0-1 1,2 1-1,-6 8 0,0 2 99,-8 23 0,2 6-141,1 0-1,-12 83 1,6 102-1251,17-52 1144,8 1 0,47 265 1,-4-238 83,-30-149 0,37 81 0,-7-55-2,-38-70 0,1-1 0,0 0-1,20 19 1,-25-28 2,1 1 0,0-1 0,0 1 0,-1-1-1,2 0 1,0-1 0,-1 0 0,1 0 0,0 0-1,11 3 1,-13-5 0,-1 0 0,1-1 0,-1 1 0,1-1 0,0 0 0,0 0 0,-1 0 0,1-1 0,0 0 0,-1 1 0,1-1 0,-1 0 0,1-1 0,-1 1 0,0-1 0,0 0 0,9-4 0,-6 1 0,1 0 0,-1-1 0,1 0 0,-1 0 0,-1 0 0,10-13 0,-4 2 0,20-35 0,16-55 0,-3-30-113,-8-9-1,-8-1 0,-7 0 0,-7-2 0,-13-229 0,-40 56 115,27 271-2,-3 0 1,-2 1 0,-3 1-1,-29-54 1,38 85-1,0 2 0,-1-1 0,-1 1 0,0 0 0,-2 1 0,0 0 0,-17-13 0,25 23 1,-1 1 0,1-1 0,-1 1 0,0 1 0,0-1 0,0 1 0,-13-4 0,16 6 0,1 0 0,-1 1 0,0-1 0,1 1 0,-1-1 0,0 1 0,1 0 0,-1 0 0,0 1 0,0-1 0,1 1 0,-1-1 0,1 1 0,-1 0 0,0 0 0,1 1 0,0-1 0,-4 2 0,2 0 84,1 0 0,-1 0 0,1 1 0,0-1 0,0 1 0,0 0 0,1-1 1,-1 2-1,1-1 0,1 0 0,-1 0 0,-3 8 0,0 3 282,0 0 1,-4 28-1,2 2-359,-2 59-1,9 49 1,18 238-612,12 2-111,-25-341 700,2 31 16,12 134 0,12-5 0,-16-157 0,-13-51 0,1-1 0,-1 1 0,1-1 0,-1 1 0,3 2 0,-3-5 0,-1-1 0,1 1 0,-1-1 0,0 0 0,1 1 0,-1-1 0,1 0 0,-1 1 0,0-1 0,1 0 0,0 1 0,-1-1 0,1 0 0,-1 0 0,1 1 0,-1-1 0,1 0 0,0 0 0,-1 0 0,1 0 0,-1 0 0,1 0 0,0 0 0,-1 0 0,1 0 0,-1 0 0,1 0 0,-1 0 0,1 0 0,0 0 0,-1 0 0,1-1 0,-1 1 0,1 0 0,-1 0 0,1 0 0,0-1 0,-1 1 0,0 0 0,1-1 0,3-2 0,-1 1 0,1-1 0,-1 0 0,0 0 0,-1 0 0,5-6 0,14-24 0,-13 20 0,225-409 10,-156 274 203,-65 127-23,25-47 431,-30 57-545,2 0 0,-1 0-1,16-15 1,-22 24-76,1 0 0,-1-1 0,1 1 0,-1 1 0,1-1 0,0 0 0,0 1 0,0-1 0,0 1 0,0-1 0,0 1 0,4-1 0,-4 2 0,-1-1 0,0 1 0,0 0 0,0 0 0,0 0 0,0 1 0,1-1 0,-1 0 0,0 1 0,0-1 0,0 1 0,0-1 0,0 1 0,0 0 0,-1 0 0,1 0 0,0 0 0,0 0 0,-1 1 0,3 1 0,4 5 0,0 0 0,0 0 0,-2 0 0,0 1 0,0 0 0,0 0 0,4 13 0,12 25 15,23 84 0,-2 55-164,-29-100-169,4 160-1,-19-200 326,-2 0 0,-2-1 0,-3 1 0,-2-2 1,-21 57-1,24-84-7,0-1 0,-1 0 0,-1 0 0,-1 0 0,-1-1 0,-15 17 0,21-26 0,-1 0 0,0-1 0,-1 0 0,1 0 0,-1 0 0,0-1 0,0 1 0,0-2 0,-1 1 0,0-1 0,0 0 0,0 0 0,0-1 0,0 0 0,-1 0 0,1 0 0,-10 0 0,5-2 34,0 0 1,0-1-1,0 0 0,-17-3 1,-50-16 295,-10 0-119,58 15-211,1 3 0,-1 0 0,-32 2 0,-94 11 0,-39 1 0,183-12 0,-1 0 0,1-1 0,-1-1 0,1 0 0,0 0 0,-15-6 0,24 7 0,1-1 0,-1 1 0,0-1 0,1-1 0,0 1 0,0 0 0,0-1 0,0 0 0,0 0 0,1 0 0,-1 0 0,1 0 0,0-1 0,0 1 0,0-1 0,1 0 0,-1 0 0,1 0 0,0 0 0,-2-8 0,1 4 0,2-1 0,0 0 0,0 1 0,1-1 0,0 1 0,1-1 0,0 0 0,3-13 0,2 2 0,1 1 0,16-32 0,-3 14 0,2 2 0,2-1 0,47-51 0,-35 50 0,1 1 0,75-56 0,-86 73 0,2 1 0,1 1 0,1 1 0,0 1 0,0 1 0,2 2 0,49-14 0,-62 21 0,0 2 0,0 0 0,0 1 0,1 0 0,0 1 0,23 2 0,-28 1 0,1 0 0,-1 0 0,0 1 0,1 1 0,-2 0 0,1 1 0,-1 1 0,22 10 0,-21-7 0,0 0 0,0 1 0,-1 0 0,0 1 0,-2 0 0,17 18 0,-13-10 0,-1 1 0,-1-1 0,20 40 0,-13-11 0,-3 1 0,-2 0 0,11 65 0,-17-62 0,-4-19 0,16 54 0,-20-83 0,-1-1 0,1 1 0,0 1 0,1-2 0,-1 1 0,3 4 0,-4-8 0,-1 1 0,1 0 0,0-1 0,0 1 0,-1-1 0,1 1 0,0 0 0,-1-1 0,1 0 0,0 1 0,0-1 0,0 1 0,-1-1 0,2 0 0,-2 0 0,1 1 0,1-1 0,-2 0 0,1 0 0,0 0 0,0 0 0,0 0 0,0 0 0,0 0 0,0 0 0,0 0 0,0 0 0,0-1 0,-1 1 0,2 0 0,-2 0 0,1-1 0,0 1 0,0 0 0,0-1 0,0 0 0,4-2 0,0-1 0,-1 0 0,0 0 0,0 0 0,0-1 0,-1 1 0,0-1 0,0 1 0,5-10 0,1-5 0,0 0 0,-2 0 0,-1-1 0,-1 1 0,0-2 0,-2 1 0,1-26 0,-4 24 0,-1 0 0,-1 0 0,-1 0 0,-1 0 0,-1 1 0,-13-34 0,17 52 0,-4-8 0,-7-13 0,11 22 0,-1 0 0,1 0 0,0 0 0,-1 0 0,1 1 0,-1-1 0,0 0 0,0 0 0,0 1 0,0-1 0,0 1 0,-5-3 0,7 4 0,0 0 0,0 0 0,-1 0 0,1 0 0,-1 0 0,1 0 0,0-1 0,0 1 0,-1 0 0,1 0 0,0 0 0,0 0 0,-1 0 0,1 0 0,0 0 0,-1 0 0,1 0 0,-1 0 0,1 0 0,0 0 0,-1 1 0,1-1 0,0 0 0,0 0 0,-1 0 0,1 0 0,-1 0 0,1 0 0,0 1 0,0-1 0,-1 0 0,1 0 0,0 0 0,0 1 0,0-1 0,0 0 0,-1 0 0,1 1 0,0-1 0,0 0 0,0 0 0,0 1 0,0-1 0,0 0 0,0 1 0,0-1 0,0 0 0,-1 0 0,1 1 0,0-1 0,0 0 0,1 1 0,-1-1 0,0 0 0,0 0 0,0 1 0,0 1 0,0 0 0,1 0 0,-1 0 0,0 0 0,1 0 0,0 0 0,1 2 0,1 0 0,0-1 0,-1 0 0,1 0 0,0 0 0,1 0 0,-1-1 0,1 1 0,0-1 0,-1 0 0,1 1 0,0-2 0,5 3 0,3 1 0,0-1 0,1-1 0,15 3 0,5-1 0,0-2 0,0 0 0,42-3 0,101-11 0,-159 10 0,40-4 0,101-4 0,-154 9 0,-1-1 0,1 1 0,0 0 0,0 0 0,0 1 0,-1-1 0,1 1 0,0-1 0,-1 1 0,1 0 0,0 0 0,3 2 0,-7-2 0,1-1 0,-1 0 0,0 0 0,0 0 0,0 0 0,1 0 0,-1 1 0,1-1 0,-1 0 0,0 0 0,0 0 0,0 1 0,0-1 0,0 0 0,1 0 0,-1 1 0,0-1 0,0 0 0,0 0 0,0 1 0,0-1 0,0 0 0,0 0 0,0 1 0,0-1 0,0 0 0,0 1 0,0-1 0,0 0 0,0 0 0,0 1 0,0-1 0,0 0 0,0 0 0,-1 1 0,1-1 0,0 0 0,0 0 0,0 1 0,0-1 0,0 0 0,-1 0 0,1 0 0,0 1 0,-1-1 0,1 0 0,0 0 0,0 0 0,-1 0 0,1 0 0,0 1 0,-1-1 0,1 0 0,-1 1 0,0-1 0,1 0 0,0 0 0,-1 0 0,1 1 0,-1-1 0,0 0 0,1 0 0,-1 0 0,1 0 0,-1 0 0,1 0 0,-1 0 0,0 0 0,1 0 0,-1 0 0,1 0 0,-1 0 0,1 0 0,-1-1 0,0 1 0,1 0 0,0 0 0,-2-1 0,2 1 8,0 0-1,0 0 1,0 0 0,0-1-1,0 1 1,0 0-1,-1 0 1,1 0-1,0 0 1,0-1 0,0 1-1,0 0 1,1 0-1,-1 0 1,0 0 0,0-1-1,0 1 1,0 0-1,0 0 1,0 0-1,0 0 1,1 0 0,-1-1-1,0 1 1,0 0-1,0 0 1,0 0-1,0 0 1,0 0 0,0 0-1,0-1 1,1 1-1,-1 0 1,0 0 0,0 0-1,0 0 1,0 0-1,1 0 1,-1 0-1,0 0 1,0 0 0,1 0-1,-1 0 1,0 0-1,10-3-1586,-9 3 1452,16-4-6699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1B13-EA52-464C-A091-E68279E2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1821</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Mwimanji Chellah</cp:lastModifiedBy>
  <cp:revision>4</cp:revision>
  <cp:lastPrinted>2009-12-01T15:15:00Z</cp:lastPrinted>
  <dcterms:created xsi:type="dcterms:W3CDTF">2024-02-02T10:02:00Z</dcterms:created>
  <dcterms:modified xsi:type="dcterms:W3CDTF">2024-02-05T12:13:00Z</dcterms:modified>
</cp:coreProperties>
</file>